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66171A">
      <w:pPr>
        <w:jc w:val="center"/>
        <w:rPr>
          <w:rFonts w:hint="eastAsia" w:ascii="Times New Roman" w:hAnsi="Times New Roman"/>
          <w:color w:val="000000"/>
        </w:rPr>
      </w:pPr>
    </w:p>
    <w:p w14:paraId="20730E02">
      <w:pPr>
        <w:jc w:val="center"/>
        <w:rPr>
          <w:rFonts w:ascii="Times New Roman" w:hAnsi="Times New Roman"/>
          <w:color w:val="000000"/>
        </w:rPr>
      </w:pPr>
      <w:r>
        <w:rPr>
          <w:rFonts w:ascii="黑体"/>
        </w:rPr>
        <w:object>
          <v:shape id="_x0000_i1025" o:spt="75" type="#_x0000_t75" style="height:42.15pt;width:148.85pt;" o:ole="t" fillcolor="#000011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Brush" ShapeID="_x0000_i1025" DrawAspect="Content" ObjectID="_1468075725" r:id="rId4">
            <o:LockedField>false</o:LockedField>
          </o:OLEObject>
        </w:object>
      </w:r>
    </w:p>
    <w:p w14:paraId="632F0359">
      <w:pPr>
        <w:jc w:val="center"/>
        <w:rPr>
          <w:rFonts w:hint="eastAsia" w:ascii="Times New Roman" w:hAnsi="Times New Roman"/>
          <w:color w:val="000000"/>
        </w:rPr>
      </w:pPr>
    </w:p>
    <w:p w14:paraId="0E2BC28B">
      <w:pPr>
        <w:jc w:val="center"/>
        <w:rPr>
          <w:rFonts w:ascii="Times New Roman" w:hAnsi="Times New Roman" w:eastAsia="楷体_GB2312"/>
          <w:bCs/>
          <w:color w:val="000000"/>
          <w:sz w:val="72"/>
          <w:szCs w:val="72"/>
        </w:rPr>
      </w:pPr>
      <w:r>
        <w:rPr>
          <w:rFonts w:hint="eastAsia" w:ascii="Times New Roman" w:hAnsi="Times New Roman" w:eastAsia="楷体_GB2312"/>
          <w:bCs/>
          <w:color w:val="000000"/>
          <w:sz w:val="72"/>
          <w:szCs w:val="72"/>
        </w:rPr>
        <w:t>《数据挖掘》</w:t>
      </w:r>
      <w:r>
        <w:rPr>
          <w:rFonts w:ascii="Times New Roman" w:hAnsi="Times New Roman" w:eastAsia="楷体_GB2312"/>
          <w:bCs/>
          <w:color w:val="000000"/>
          <w:sz w:val="72"/>
          <w:szCs w:val="72"/>
        </w:rPr>
        <w:br w:type="textWrapping"/>
      </w:r>
      <w:r>
        <w:rPr>
          <w:rFonts w:hint="eastAsia" w:ascii="Times New Roman" w:hAnsi="Times New Roman" w:eastAsia="楷体_GB2312"/>
          <w:bCs/>
          <w:color w:val="000000"/>
          <w:sz w:val="72"/>
          <w:szCs w:val="72"/>
        </w:rPr>
        <w:t>课程研讨报告</w:t>
      </w:r>
    </w:p>
    <w:p w14:paraId="1CD156B5">
      <w:pPr>
        <w:jc w:val="center"/>
        <w:rPr>
          <w:rFonts w:ascii="Times New Roman" w:hAnsi="Times New Roman" w:eastAsia="楷体_GB2312"/>
          <w:color w:val="000000"/>
          <w:sz w:val="52"/>
        </w:rPr>
      </w:pP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6"/>
        <w:gridCol w:w="5676"/>
        <w:gridCol w:w="936"/>
      </w:tblGrid>
      <w:tr w14:paraId="37CB5C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10" w:hRule="atLeast"/>
          <w:jc w:val="center"/>
        </w:trPr>
        <w:tc>
          <w:tcPr>
            <w:tcW w:w="0" w:type="auto"/>
            <w:gridSpan w:val="2"/>
            <w:noWrap w:val="0"/>
            <w:vAlign w:val="center"/>
          </w:tcPr>
          <w:p w14:paraId="745FF677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课程研讨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成绩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（总分10）</w:t>
            </w:r>
          </w:p>
        </w:tc>
        <w:tc>
          <w:tcPr>
            <w:tcW w:w="0" w:type="auto"/>
            <w:noWrap w:val="0"/>
            <w:vAlign w:val="center"/>
          </w:tcPr>
          <w:p w14:paraId="5D3F9E69">
            <w:pPr>
              <w:widowControl/>
              <w:adjustRightInd w:val="0"/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分  数</w:t>
            </w:r>
          </w:p>
        </w:tc>
      </w:tr>
      <w:tr w14:paraId="2B8AD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10" w:hRule="atLeast"/>
          <w:jc w:val="center"/>
        </w:trPr>
        <w:tc>
          <w:tcPr>
            <w:tcW w:w="0" w:type="auto"/>
            <w:vMerge w:val="restart"/>
            <w:shd w:val="clear" w:color="auto" w:fill="auto"/>
            <w:noWrap/>
            <w:vAlign w:val="center"/>
          </w:tcPr>
          <w:p w14:paraId="7A5B5ED5">
            <w:pPr>
              <w:widowControl/>
              <w:adjustRightInd w:val="0"/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表达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7778B65C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有自己的见解，观点表述清楚，建议中肯（3-4分）</w:t>
            </w:r>
          </w:p>
        </w:tc>
        <w:tc>
          <w:tcPr>
            <w:tcW w:w="0" w:type="auto"/>
            <w:vMerge w:val="restart"/>
            <w:shd w:val="clear" w:color="auto" w:fill="auto"/>
            <w:noWrap w:val="0"/>
            <w:vAlign w:val="center"/>
          </w:tcPr>
          <w:p w14:paraId="3CBE444B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13C580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10" w:hRule="atLeast"/>
          <w:jc w:val="center"/>
        </w:trPr>
        <w:tc>
          <w:tcPr>
            <w:tcW w:w="0" w:type="auto"/>
            <w:vMerge w:val="continue"/>
            <w:tcBorders>
              <w:bottom w:val="single" w:color="auto" w:sz="4" w:space="0"/>
            </w:tcBorders>
            <w:shd w:val="clear" w:color="auto" w:fill="auto"/>
            <w:noWrap w:val="0"/>
            <w:vAlign w:val="center"/>
          </w:tcPr>
          <w:p w14:paraId="77AEFF93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3FEFCB1B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照抄别人的想法，缺乏自己的思考（0-2分）</w:t>
            </w:r>
          </w:p>
        </w:tc>
        <w:tc>
          <w:tcPr>
            <w:tcW w:w="0" w:type="auto"/>
            <w:vMerge w:val="continue"/>
            <w:shd w:val="clear" w:color="auto" w:fill="auto"/>
            <w:noWrap w:val="0"/>
            <w:vAlign w:val="center"/>
          </w:tcPr>
          <w:p w14:paraId="1CA47145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35237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10" w:hRule="atLeast"/>
          <w:jc w:val="center"/>
        </w:trPr>
        <w:tc>
          <w:tcPr>
            <w:tcW w:w="0" w:type="auto"/>
            <w:vMerge w:val="restart"/>
            <w:shd w:val="clear" w:color="auto" w:fill="auto"/>
            <w:noWrap w:val="0"/>
            <w:vAlign w:val="center"/>
          </w:tcPr>
          <w:p w14:paraId="0794AA0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内容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899535D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内容清晰完整，语言逻辑通顺（2-3分）</w:t>
            </w:r>
          </w:p>
        </w:tc>
        <w:tc>
          <w:tcPr>
            <w:tcW w:w="0" w:type="auto"/>
            <w:vMerge w:val="restart"/>
            <w:shd w:val="clear" w:color="auto" w:fill="auto"/>
            <w:noWrap w:val="0"/>
            <w:vAlign w:val="center"/>
          </w:tcPr>
          <w:p w14:paraId="23FF4228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2DCF45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10" w:hRule="atLeast"/>
          <w:jc w:val="center"/>
        </w:trPr>
        <w:tc>
          <w:tcPr>
            <w:tcW w:w="0" w:type="auto"/>
            <w:vMerge w:val="continue"/>
            <w:tcBorders>
              <w:bottom w:val="single" w:color="auto" w:sz="4" w:space="0"/>
            </w:tcBorders>
            <w:shd w:val="clear" w:color="auto" w:fill="auto"/>
            <w:noWrap w:val="0"/>
            <w:vAlign w:val="center"/>
          </w:tcPr>
          <w:p w14:paraId="1F796AB1">
            <w:pPr>
              <w:widowControl/>
              <w:adjustRightInd w:val="0"/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21720291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内容不完整，语言欠通顺（0-1分）</w:t>
            </w:r>
          </w:p>
        </w:tc>
        <w:tc>
          <w:tcPr>
            <w:tcW w:w="0" w:type="auto"/>
            <w:vMerge w:val="continue"/>
            <w:shd w:val="clear" w:color="auto" w:fill="auto"/>
            <w:noWrap w:val="0"/>
            <w:vAlign w:val="center"/>
          </w:tcPr>
          <w:p w14:paraId="25B3644A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75E64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10" w:hRule="atLeast"/>
          <w:jc w:val="center"/>
        </w:trPr>
        <w:tc>
          <w:tcPr>
            <w:tcW w:w="0" w:type="auto"/>
            <w:vMerge w:val="restart"/>
            <w:shd w:val="clear" w:color="auto" w:fill="auto"/>
            <w:noWrap w:val="0"/>
            <w:vAlign w:val="center"/>
          </w:tcPr>
          <w:p w14:paraId="499D77EB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格式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3BA7B955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格式正确，符合要求（2-3分）</w:t>
            </w:r>
          </w:p>
        </w:tc>
        <w:tc>
          <w:tcPr>
            <w:tcW w:w="0" w:type="auto"/>
            <w:vMerge w:val="restart"/>
            <w:shd w:val="clear" w:color="auto" w:fill="auto"/>
            <w:noWrap w:val="0"/>
            <w:vAlign w:val="center"/>
          </w:tcPr>
          <w:p w14:paraId="00DD52C3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14:paraId="0CA896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510" w:hRule="atLeast"/>
          <w:jc w:val="center"/>
        </w:trPr>
        <w:tc>
          <w:tcPr>
            <w:tcW w:w="0" w:type="auto"/>
            <w:vMerge w:val="continue"/>
            <w:shd w:val="clear" w:color="auto" w:fill="auto"/>
            <w:noWrap w:val="0"/>
            <w:vAlign w:val="center"/>
          </w:tcPr>
          <w:p w14:paraId="251F74B3">
            <w:pPr>
              <w:widowControl/>
              <w:adjustRightInd w:val="0"/>
              <w:snapToGrid w:val="0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46C885E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格式不正确，封面或字体有误（0-1分）</w:t>
            </w:r>
          </w:p>
        </w:tc>
        <w:tc>
          <w:tcPr>
            <w:tcW w:w="0" w:type="auto"/>
            <w:vMerge w:val="continue"/>
            <w:shd w:val="clear" w:color="auto" w:fill="auto"/>
            <w:noWrap w:val="0"/>
            <w:vAlign w:val="center"/>
          </w:tcPr>
          <w:p w14:paraId="69A93FBA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 w14:paraId="398CCE55">
      <w:pPr>
        <w:jc w:val="center"/>
        <w:rPr>
          <w:rFonts w:hint="eastAsia" w:ascii="Times New Roman" w:hAnsi="Times New Roman"/>
          <w:color w:val="000000"/>
          <w:sz w:val="24"/>
        </w:rPr>
      </w:pPr>
    </w:p>
    <w:p w14:paraId="385A947D">
      <w:pPr>
        <w:jc w:val="center"/>
        <w:rPr>
          <w:rFonts w:hint="eastAsia" w:ascii="Times New Roman" w:hAnsi="Times New Roman"/>
          <w:color w:val="000000"/>
          <w:sz w:val="24"/>
        </w:rPr>
      </w:pPr>
    </w:p>
    <w:p w14:paraId="78D32493">
      <w:pPr>
        <w:jc w:val="center"/>
        <w:rPr>
          <w:rFonts w:hint="eastAsia" w:ascii="Times New Roman" w:hAnsi="Times New Roman"/>
          <w:color w:val="000000"/>
          <w:sz w:val="24"/>
        </w:rPr>
      </w:pPr>
    </w:p>
    <w:p w14:paraId="5048B931">
      <w:pPr>
        <w:jc w:val="center"/>
        <w:rPr>
          <w:rFonts w:hint="eastAsia" w:ascii="Times New Roman" w:hAnsi="Times New Roman"/>
          <w:color w:val="000000"/>
          <w:sz w:val="24"/>
        </w:rPr>
      </w:pPr>
    </w:p>
    <w:p w14:paraId="3DBCFD32">
      <w:pPr>
        <w:jc w:val="center"/>
        <w:rPr>
          <w:rFonts w:hint="eastAsia" w:ascii="Times New Roman" w:hAnsi="Times New Roman"/>
          <w:color w:val="000000"/>
          <w:sz w:val="24"/>
        </w:rPr>
      </w:pP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0"/>
        <w:gridCol w:w="1503"/>
        <w:gridCol w:w="1176"/>
      </w:tblGrid>
      <w:tr w14:paraId="03A258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jc w:val="center"/>
        </w:trPr>
        <w:tc>
          <w:tcPr>
            <w:tcW w:w="1590" w:type="dxa"/>
            <w:shd w:val="clear" w:color="auto" w:fill="auto"/>
            <w:noWrap w:val="0"/>
            <w:vAlign w:val="bottom"/>
          </w:tcPr>
          <w:p w14:paraId="5A41A0C3">
            <w:pPr>
              <w:widowControl/>
              <w:wordWrap w:val="0"/>
              <w:adjustRightInd w:val="0"/>
              <w:snapToGrid w:val="0"/>
              <w:jc w:val="right"/>
              <w:rPr>
                <w:rFonts w:ascii="Times New Roman" w:hAnsi="Times New Roman" w:eastAsia="楷体_GB2312"/>
                <w:color w:val="000000"/>
                <w:sz w:val="32"/>
              </w:rPr>
            </w:pPr>
            <w:r>
              <w:rPr>
                <w:rFonts w:ascii="Times New Roman" w:hAnsi="Times New Roman" w:eastAsia="楷体_GB2312"/>
                <w:color w:val="000000"/>
                <w:sz w:val="32"/>
              </w:rPr>
              <w:t>课程名称</w:t>
            </w:r>
          </w:p>
        </w:tc>
        <w:tc>
          <w:tcPr>
            <w:tcW w:w="0" w:type="auto"/>
            <w:gridSpan w:val="2"/>
            <w:shd w:val="clear" w:color="auto" w:fill="auto"/>
            <w:noWrap w:val="0"/>
            <w:vAlign w:val="bottom"/>
          </w:tcPr>
          <w:p w14:paraId="70A565A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楷体_GB2312"/>
                <w:color w:val="000000"/>
                <w:sz w:val="32"/>
              </w:rPr>
            </w:pPr>
            <w:r>
              <w:rPr>
                <w:rFonts w:hint="eastAsia" w:ascii="Times New Roman" w:hAnsi="Times New Roman" w:eastAsia="楷体_GB2312"/>
                <w:color w:val="000000"/>
                <w:sz w:val="32"/>
              </w:rPr>
              <w:t>数据挖掘</w:t>
            </w:r>
          </w:p>
        </w:tc>
      </w:tr>
      <w:tr w14:paraId="6EC7F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jc w:val="center"/>
        </w:trPr>
        <w:tc>
          <w:tcPr>
            <w:tcW w:w="1590" w:type="dxa"/>
            <w:shd w:val="clear" w:color="auto" w:fill="auto"/>
            <w:noWrap w:val="0"/>
            <w:vAlign w:val="bottom"/>
          </w:tcPr>
          <w:p w14:paraId="3211D905">
            <w:pPr>
              <w:widowControl/>
              <w:wordWrap w:val="0"/>
              <w:adjustRightInd w:val="0"/>
              <w:snapToGrid w:val="0"/>
              <w:jc w:val="right"/>
              <w:rPr>
                <w:rFonts w:ascii="Times New Roman" w:hAnsi="Times New Roman" w:eastAsia="楷体_GB2312"/>
                <w:color w:val="000000"/>
                <w:sz w:val="32"/>
              </w:rPr>
            </w:pPr>
            <w:r>
              <w:rPr>
                <w:rFonts w:ascii="Times New Roman" w:hAnsi="Times New Roman" w:eastAsia="楷体_GB2312"/>
                <w:color w:val="000000"/>
                <w:sz w:val="32"/>
              </w:rPr>
              <w:t>课程编号</w:t>
            </w:r>
          </w:p>
        </w:tc>
        <w:tc>
          <w:tcPr>
            <w:tcW w:w="0" w:type="auto"/>
            <w:gridSpan w:val="2"/>
            <w:shd w:val="clear" w:color="auto" w:fill="auto"/>
            <w:noWrap w:val="0"/>
            <w:vAlign w:val="bottom"/>
          </w:tcPr>
          <w:p w14:paraId="1FA61610">
            <w:pPr>
              <w:widowControl/>
              <w:adjustRightInd w:val="0"/>
              <w:snapToGrid w:val="0"/>
              <w:jc w:val="center"/>
              <w:rPr>
                <w:rFonts w:hint="eastAsia" w:ascii="Times New Roman" w:hAnsi="Times New Roman" w:eastAsia="楷体_GB2312"/>
                <w:color w:val="000000"/>
                <w:sz w:val="32"/>
              </w:rPr>
            </w:pPr>
            <w:r>
              <w:rPr>
                <w:rFonts w:ascii="Times New Roman" w:hAnsi="Times New Roman" w:eastAsia="楷体_GB2312"/>
                <w:color w:val="000000"/>
                <w:sz w:val="32"/>
              </w:rPr>
              <w:t>08306150</w:t>
            </w:r>
          </w:p>
        </w:tc>
      </w:tr>
      <w:tr w14:paraId="0D0A6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jc w:val="center"/>
        </w:trPr>
        <w:tc>
          <w:tcPr>
            <w:tcW w:w="3093" w:type="dxa"/>
            <w:gridSpan w:val="2"/>
            <w:shd w:val="clear" w:color="auto" w:fill="auto"/>
            <w:noWrap w:val="0"/>
            <w:vAlign w:val="center"/>
          </w:tcPr>
          <w:p w14:paraId="668D5A45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楷体_GB2312"/>
                <w:color w:val="000000"/>
                <w:sz w:val="32"/>
              </w:rPr>
            </w:pPr>
            <w:r>
              <w:rPr>
                <w:rFonts w:ascii="Times New Roman" w:hAnsi="Times New Roman" w:eastAsia="楷体_GB2312"/>
                <w:color w:val="000000"/>
                <w:sz w:val="32"/>
              </w:rPr>
              <w:t>学</w:t>
            </w:r>
            <w:r>
              <w:rPr>
                <w:rFonts w:hint="eastAsia" w:ascii="Times New Roman" w:hAnsi="Times New Roman" w:eastAsia="楷体_GB2312"/>
                <w:color w:val="000000"/>
                <w:sz w:val="32"/>
              </w:rPr>
              <w:t xml:space="preserve">  </w:t>
            </w:r>
            <w:r>
              <w:rPr>
                <w:rFonts w:ascii="Times New Roman" w:hAnsi="Times New Roman" w:eastAsia="楷体_GB2312"/>
                <w:color w:val="000000"/>
                <w:sz w:val="32"/>
              </w:rPr>
              <w:t>号</w:t>
            </w:r>
          </w:p>
        </w:tc>
        <w:tc>
          <w:tcPr>
            <w:tcW w:w="0" w:type="auto"/>
            <w:shd w:val="clear" w:color="auto" w:fill="auto"/>
            <w:noWrap w:val="0"/>
            <w:vAlign w:val="bottom"/>
          </w:tcPr>
          <w:p w14:paraId="6995EC4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楷体_GB2312"/>
                <w:color w:val="000000"/>
                <w:sz w:val="32"/>
              </w:rPr>
            </w:pPr>
            <w:r>
              <w:rPr>
                <w:rFonts w:ascii="Times New Roman" w:hAnsi="Times New Roman" w:eastAsia="楷体_GB2312"/>
                <w:color w:val="000000"/>
                <w:sz w:val="32"/>
              </w:rPr>
              <w:t>姓</w:t>
            </w:r>
            <w:r>
              <w:rPr>
                <w:rFonts w:hint="eastAsia" w:ascii="Times New Roman" w:hAnsi="Times New Roman" w:eastAsia="楷体_GB2312"/>
                <w:color w:val="000000"/>
                <w:sz w:val="32"/>
              </w:rPr>
              <w:t xml:space="preserve">  </w:t>
            </w:r>
            <w:r>
              <w:rPr>
                <w:rFonts w:ascii="Times New Roman" w:hAnsi="Times New Roman" w:eastAsia="楷体_GB2312"/>
                <w:color w:val="000000"/>
                <w:sz w:val="32"/>
              </w:rPr>
              <w:t>名</w:t>
            </w:r>
          </w:p>
        </w:tc>
      </w:tr>
      <w:tr w14:paraId="766EA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jc w:val="center"/>
        </w:trPr>
        <w:tc>
          <w:tcPr>
            <w:tcW w:w="3093" w:type="dxa"/>
            <w:gridSpan w:val="2"/>
            <w:shd w:val="clear" w:color="auto" w:fill="auto"/>
            <w:noWrap w:val="0"/>
            <w:vAlign w:val="center"/>
          </w:tcPr>
          <w:p w14:paraId="346FCE57"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楷体_GB2312"/>
                <w:color w:val="000000"/>
                <w:sz w:val="32"/>
                <w:lang w:val="en-US" w:eastAsia="zh-CN"/>
              </w:rPr>
            </w:pPr>
            <w:r>
              <w:rPr>
                <w:rFonts w:hint="eastAsia" w:ascii="Times New Roman" w:hAnsi="Times New Roman" w:eastAsia="楷体_GB2312"/>
                <w:color w:val="000000"/>
                <w:sz w:val="32"/>
                <w:lang w:val="en-US" w:eastAsia="zh-CN"/>
              </w:rPr>
              <w:t>23121677</w:t>
            </w:r>
          </w:p>
        </w:tc>
        <w:tc>
          <w:tcPr>
            <w:tcW w:w="0" w:type="auto"/>
            <w:shd w:val="clear" w:color="auto" w:fill="auto"/>
            <w:noWrap w:val="0"/>
            <w:vAlign w:val="bottom"/>
          </w:tcPr>
          <w:p w14:paraId="6A25734D">
            <w:pPr>
              <w:widowControl/>
              <w:adjustRightInd w:val="0"/>
              <w:snapToGrid w:val="0"/>
              <w:jc w:val="center"/>
              <w:rPr>
                <w:rFonts w:hint="eastAsia" w:ascii="Times New Roman" w:hAnsi="Times New Roman" w:eastAsia="楷体_GB2312"/>
                <w:color w:val="000000"/>
                <w:sz w:val="32"/>
                <w:lang w:val="en-US" w:eastAsia="zh-CN"/>
              </w:rPr>
            </w:pPr>
            <w:r>
              <w:rPr>
                <w:rFonts w:hint="eastAsia" w:ascii="Times New Roman" w:hAnsi="Times New Roman" w:eastAsia="楷体_GB2312"/>
                <w:color w:val="000000"/>
                <w:sz w:val="32"/>
                <w:lang w:val="en-US" w:eastAsia="zh-CN"/>
              </w:rPr>
              <w:t>范舒舰</w:t>
            </w:r>
          </w:p>
        </w:tc>
      </w:tr>
    </w:tbl>
    <w:p w14:paraId="73D4D50E">
      <w:pPr>
        <w:jc w:val="center"/>
        <w:rPr>
          <w:rFonts w:ascii="Times New Roman" w:hAnsi="Times New Roman"/>
          <w:color w:val="000000"/>
          <w:sz w:val="24"/>
        </w:rPr>
      </w:pPr>
    </w:p>
    <w:p w14:paraId="0FBD7B24">
      <w:pPr>
        <w:jc w:val="center"/>
        <w:rPr>
          <w:rFonts w:hint="eastAsia" w:ascii="Times New Roman" w:hAnsi="Times New Roman"/>
          <w:color w:val="000000"/>
          <w:sz w:val="24"/>
        </w:rPr>
      </w:pPr>
    </w:p>
    <w:p w14:paraId="20BF69CE">
      <w:pPr>
        <w:jc w:val="center"/>
        <w:rPr>
          <w:rFonts w:ascii="Times New Roman" w:hAnsi="Times New Roman" w:eastAsia="楷体_GB2312"/>
          <w:color w:val="000000"/>
          <w:sz w:val="30"/>
        </w:rPr>
      </w:pPr>
      <w:r>
        <w:rPr>
          <w:rFonts w:ascii="Times New Roman" w:hAnsi="Times New Roman" w:eastAsia="楷体_GB2312"/>
          <w:color w:val="000000"/>
          <w:sz w:val="30"/>
        </w:rPr>
        <w:t>20</w:t>
      </w:r>
      <w:r>
        <w:rPr>
          <w:rFonts w:hint="eastAsia" w:ascii="Times New Roman" w:hAnsi="Times New Roman" w:eastAsia="楷体_GB2312"/>
          <w:color w:val="000000"/>
          <w:sz w:val="30"/>
          <w:lang w:val="en-US" w:eastAsia="zh-CN"/>
        </w:rPr>
        <w:t>26</w:t>
      </w:r>
      <w:r>
        <w:rPr>
          <w:rFonts w:ascii="Times New Roman" w:hAnsi="Times New Roman" w:eastAsia="楷体_GB2312"/>
          <w:color w:val="000000"/>
          <w:sz w:val="30"/>
        </w:rPr>
        <w:t xml:space="preserve">  年  </w:t>
      </w:r>
      <w:r>
        <w:rPr>
          <w:rFonts w:hint="eastAsia" w:ascii="Times New Roman" w:hAnsi="Times New Roman" w:eastAsia="楷体_GB2312"/>
          <w:color w:val="000000"/>
          <w:sz w:val="30"/>
          <w:lang w:val="en-US" w:eastAsia="zh-CN"/>
        </w:rPr>
        <w:t xml:space="preserve">4  </w:t>
      </w:r>
      <w:r>
        <w:rPr>
          <w:rFonts w:ascii="Times New Roman" w:hAnsi="Times New Roman" w:eastAsia="楷体_GB2312"/>
          <w:color w:val="000000"/>
          <w:sz w:val="30"/>
        </w:rPr>
        <w:t>月</w:t>
      </w:r>
    </w:p>
    <w:p w14:paraId="636AD751">
      <w:pPr>
        <w:pStyle w:val="2"/>
        <w:pageBreakBefore/>
        <w:spacing w:after="6"/>
        <w:jc w:val="center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《数据挖掘》课程研讨报告</w:t>
      </w:r>
    </w:p>
    <w:p w14:paraId="712607F6">
      <w:pPr>
        <w:pStyle w:val="3"/>
        <w:snapToGrid w:val="0"/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eastAsia="黑体"/>
          <w:sz w:val="30"/>
          <w:szCs w:val="30"/>
        </w:rPr>
        <w:t xml:space="preserve">1. </w:t>
      </w:r>
      <w:r>
        <w:rPr>
          <w:rFonts w:hint="eastAsia" w:ascii="Times New Roman" w:hAnsi="Times New Roman" w:eastAsia="黑体"/>
          <w:sz w:val="30"/>
          <w:szCs w:val="30"/>
        </w:rPr>
        <w:t>任务要求</w:t>
      </w:r>
    </w:p>
    <w:p w14:paraId="7B243113">
      <w:pPr>
        <w:pStyle w:val="4"/>
        <w:snapToGrid w:val="0"/>
        <w:spacing w:before="93" w:beforeLines="30" w:after="0" w:line="360" w:lineRule="auto"/>
        <w:rPr>
          <w:rFonts w:hint="eastAsia" w:ascii="Times New Roman" w:hAnsi="Times New Roman" w:eastAsia="黑体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1.1 题目描述</w:t>
      </w:r>
    </w:p>
    <w:p w14:paraId="586E301E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本任务基于 Porto Taxi Trajectory 数据集完成出租车轨迹终点预测。数据集中每条记录对应一次出租车完整行程，轨迹由按时间顺序记录的 GPS 点组成。</w:t>
      </w:r>
    </w:p>
    <w:p w14:paraId="614E23B0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任务要求对每条轨迹只保留前部分轨迹点作为输入，并预测该行程最终到达的终点。建模方式可以采用回归方法，直接预测终点经纬度；也可以采用分类方法，先将终点空间离散化，再预测终点所属网格或聚类编号。</w:t>
      </w:r>
    </w:p>
    <w:p w14:paraId="289EF171">
      <w:pPr>
        <w:pStyle w:val="4"/>
        <w:snapToGrid w:val="0"/>
        <w:spacing w:before="93" w:beforeLines="30" w:after="0" w:line="360" w:lineRule="auto"/>
        <w:rPr>
          <w:rFonts w:hint="eastAsia" w:ascii="Times New Roman" w:hAnsi="Times New Roman" w:eastAsia="黑体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1.2 题目要求</w:t>
      </w:r>
    </w:p>
    <w:p w14:paraId="280781CE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本任务需要先将每条完整轨迹切分为“前缀轨迹”和“真实终点”。前缀轨迹作为模型输入，完整轨迹最后一个点作为预测目标。</w:t>
      </w:r>
    </w:p>
    <w:p w14:paraId="052D5A8E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在特征设计方面，需要从前缀轨迹中提取有效信息，例如前缀起点位置、当前最后一个轨迹点位置、前缀平均速度、出发时间、星期信息和前缀方向特征等。</w:t>
      </w:r>
    </w:p>
    <w:p w14:paraId="6798F616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在模型设计方面，可以选择经纬度回归或终点区域分类。本实验在直接回归的基础上进一步尝试终点聚类方法，将终点空间划分为聚类区域，再结合类内偏移回归得到最终终点位置。</w:t>
      </w:r>
    </w:p>
    <w:p w14:paraId="530D1BBF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在结果评价方面，需要使用距离误差衡量预测效果，并比较 20%、40%、60% 三种前缀长度下的误差变化。</w:t>
      </w:r>
    </w:p>
    <w:p w14:paraId="2E636650">
      <w:pPr>
        <w:adjustRightInd w:val="0"/>
        <w:snapToGrid w:val="0"/>
        <w:spacing w:line="360" w:lineRule="auto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</w:p>
    <w:p w14:paraId="5F0A0F92">
      <w:pPr>
        <w:pStyle w:val="3"/>
        <w:numPr>
          <w:ilvl w:val="0"/>
          <w:numId w:val="1"/>
        </w:numPr>
        <w:snapToGrid w:val="0"/>
        <w:spacing w:after="120" w:line="360" w:lineRule="auto"/>
        <w:rPr>
          <w:rFonts w:hint="eastAsia"/>
        </w:rPr>
      </w:pPr>
      <w:r>
        <w:rPr>
          <w:rFonts w:hint="eastAsia" w:ascii="Times New Roman" w:hAnsi="Times New Roman" w:eastAsia="黑体"/>
          <w:sz w:val="30"/>
          <w:szCs w:val="30"/>
        </w:rPr>
        <w:t>程序设计</w:t>
      </w:r>
    </w:p>
    <w:p w14:paraId="759211C0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default" w:ascii="Times New Roman" w:hAnsi="Times New Roman" w:eastAsia="宋体" w:cs="Times New Roman"/>
          <w:b/>
          <w:bCs/>
          <w:sz w:val="21"/>
          <w:szCs w:val="20"/>
          <w:lang w:val="en-US"/>
        </w:rPr>
      </w:pPr>
      <w:r>
        <w:rPr>
          <w:rStyle w:val="16"/>
          <w:rFonts w:hint="eastAsia" w:ascii="Times New Roman" w:hAnsi="Times New Roman" w:eastAsia="宋体" w:cs="Times New Roman"/>
          <w:b/>
          <w:bCs/>
          <w:sz w:val="21"/>
          <w:szCs w:val="2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73660</wp:posOffset>
            </wp:positionV>
            <wp:extent cx="5768340" cy="7793990"/>
            <wp:effectExtent l="0" t="0" r="10160" b="3810"/>
            <wp:wrapSquare wrapText="bothSides"/>
            <wp:docPr id="15" name="图片 15" descr="diagram-flowchar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iagram-flowchart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6"/>
          <w:rFonts w:hint="eastAsia" w:ascii="Times New Roman" w:hAnsi="Times New Roman" w:eastAsia="宋体" w:cs="Times New Roman"/>
          <w:b/>
          <w:bCs/>
          <w:sz w:val="21"/>
          <w:szCs w:val="20"/>
          <w:lang w:val="en-US" w:eastAsia="zh-CN"/>
        </w:rPr>
        <w:t>图1 程序设计流程图</w:t>
      </w:r>
    </w:p>
    <w:p w14:paraId="33AD6DB4">
      <w:pPr>
        <w:pStyle w:val="4"/>
        <w:snapToGrid w:val="0"/>
        <w:spacing w:before="93" w:beforeLines="30" w:after="0" w:line="360" w:lineRule="auto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szCs w:val="28"/>
        </w:rPr>
        <w:t>2</w:t>
      </w:r>
      <w:r>
        <w:rPr>
          <w:rFonts w:ascii="Times New Roman" w:hAnsi="Times New Roman" w:eastAsia="黑体"/>
          <w:sz w:val="28"/>
          <w:szCs w:val="28"/>
        </w:rPr>
        <w:t xml:space="preserve">.1 </w:t>
      </w:r>
      <w:r>
        <w:rPr>
          <w:rFonts w:hint="eastAsia" w:ascii="Times New Roman" w:hAnsi="Times New Roman" w:eastAsia="黑体"/>
          <w:sz w:val="28"/>
          <w:szCs w:val="28"/>
        </w:rPr>
        <w:t>设计思路</w:t>
      </w:r>
    </w:p>
    <w:p w14:paraId="53F181A7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本实验围绕 Porto Taxi Trajectory 数据集完成出租车终点预测任务。原始数据中，每一条记录对应一次出租车行程，主要字段包括 TRIP_ID、TAXI_ID、TIMESTAMP、MISSING_DATA 和 POLYLINE 等。其中，POLYLINE 字段最关键，它以字符串形式保存了一次行程中的 GPS 轨迹点序列，每个轨迹点由经度和纬度组成。本实验的目标不是根据完整轨迹预测终点，而是只保留轨迹前一部分作为输入，再预测该行程最终到达的位置。因此，程序设计的第一步不是建模，而是先把原始轨迹数据清洗并转换成适合预测任务的数据格式。</w:t>
      </w:r>
    </w:p>
    <w:p w14:paraId="4CA9ABDD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在数据清洗阶段，程序首先读取 train.csv 文件，并检查每条记录的 MISSING_DATA 字段。如果该字段为 True，说明这条轨迹存在缺失数据，程序会直接删除该样本，避免缺失轨迹影响后续建模。之后，程序解析 POLYLINE 字段。成功解析为轨迹点序列的数据，才会进入后续处理。</w:t>
      </w:r>
    </w:p>
    <w:p w14:paraId="416BACED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解析完成后，程序继续对轨迹点进行有效性检查。程序设置了一个大致的经纬度范围，用来过滤明显不属于该区域的异常 GPS 点。经度范围设置为 −8.80 到 −8.45，纬度范围设置为 41.00 到 41.35。如果某个轨迹点超出这个范围，就认为它可能是异常点或无效点，不参与后续特征计算。</w:t>
      </w:r>
    </w:p>
    <w:p w14:paraId="26B3E7D4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同时，程序还会删除轨迹点数量过少的样本。本实验中，最短轨迹点数设置为 10。原因是轨迹点太少时，无法稳定提取前缀轨迹的速度、方向、弯曲度和分段距离等特征。</w:t>
      </w:r>
    </w:p>
    <w:p w14:paraId="3F6A9BB4">
      <w:pPr>
        <w:adjustRightInd w:val="0"/>
        <w:snapToGrid w:val="0"/>
        <w:spacing w:line="312" w:lineRule="auto"/>
        <w:ind w:firstLine="422" w:firstLineChars="200"/>
        <w:jc w:val="center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Style w:val="16"/>
          <w:sz w:val="21"/>
          <w:szCs w:val="20"/>
        </w:rPr>
        <w:t>表 2-1 数据清洗流程</w:t>
      </w:r>
    </w:p>
    <w:tbl>
      <w:tblPr>
        <w:tblStyle w:val="14"/>
        <w:tblW w:w="8522" w:type="dxa"/>
        <w:jc w:val="center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819"/>
        <w:gridCol w:w="3469"/>
        <w:gridCol w:w="3234"/>
      </w:tblGrid>
      <w:tr w14:paraId="57B95361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819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9C714C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清洗步骤</w:t>
            </w:r>
          </w:p>
        </w:tc>
        <w:tc>
          <w:tcPr>
            <w:tcW w:w="3469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2B5BE8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处理内容</w:t>
            </w:r>
          </w:p>
        </w:tc>
        <w:tc>
          <w:tcPr>
            <w:tcW w:w="3234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0974E2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处理目的</w:t>
            </w:r>
          </w:p>
        </w:tc>
      </w:tr>
      <w:tr w14:paraId="1BCF0ED3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81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DDD21D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缺失数据检查</w:t>
            </w:r>
          </w:p>
        </w:tc>
        <w:tc>
          <w:tcPr>
            <w:tcW w:w="346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4E1C4D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 xml:space="preserve">删除 </w:t>
            </w: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MISSING_DATA=True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 xml:space="preserve"> 的记录</w:t>
            </w:r>
          </w:p>
        </w:tc>
        <w:tc>
          <w:tcPr>
            <w:tcW w:w="323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5CBCE6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避免缺失轨迹进入模型</w:t>
            </w:r>
          </w:p>
        </w:tc>
      </w:tr>
      <w:tr w14:paraId="2EB8EFE6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B4927A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轨迹字段解析</w:t>
            </w:r>
          </w:p>
        </w:tc>
        <w:tc>
          <w:tcPr>
            <w:tcW w:w="3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FF2C49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 xml:space="preserve">将 </w:t>
            </w: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POLYLINE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 xml:space="preserve"> 字符串转换为经纬度点序列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8B011F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将原始文本字段转换为可计算数据</w:t>
            </w:r>
          </w:p>
        </w:tc>
      </w:tr>
      <w:tr w14:paraId="40594A6E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C8CC13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异常点过滤</w:t>
            </w:r>
          </w:p>
        </w:tc>
        <w:tc>
          <w:tcPr>
            <w:tcW w:w="3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5ED371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删除超出 Porto 经纬度范围的 GPS 点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CCD35B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减少异常坐标对距离和方向计算的影响</w:t>
            </w:r>
          </w:p>
        </w:tc>
      </w:tr>
      <w:tr w14:paraId="56A24D61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123BA0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短轨迹删除</w:t>
            </w:r>
          </w:p>
        </w:tc>
        <w:tc>
          <w:tcPr>
            <w:tcW w:w="3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890D8B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删除轨迹点数少于 10 的样本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CF758A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保证轨迹前缀具有足够信息</w:t>
            </w:r>
          </w:p>
        </w:tc>
      </w:tr>
      <w:tr w14:paraId="5B26665D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D6566E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终点提取</w:t>
            </w:r>
          </w:p>
        </w:tc>
        <w:tc>
          <w:tcPr>
            <w:tcW w:w="3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2F7A52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将完整轨迹最后一个点作为真实终点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E9FFEA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构造模型预测目标</w:t>
            </w:r>
          </w:p>
        </w:tc>
      </w:tr>
      <w:tr w14:paraId="7EA2F46A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81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9833F2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前缀构造</w:t>
            </w:r>
          </w:p>
        </w:tc>
        <w:tc>
          <w:tcPr>
            <w:tcW w:w="346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1FD800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分别截取 20%、40%、60% 前缀</w:t>
            </w:r>
          </w:p>
        </w:tc>
        <w:tc>
          <w:tcPr>
            <w:tcW w:w="323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A519CE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满足题目对不同前缀长度比较的要求</w:t>
            </w:r>
          </w:p>
        </w:tc>
      </w:tr>
    </w:tbl>
    <w:p w14:paraId="2E6AA530">
      <w:pPr>
        <w:adjustRightInd w:val="0"/>
        <w:snapToGrid w:val="0"/>
        <w:spacing w:line="312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</w:p>
    <w:p w14:paraId="0D174DB3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</w:p>
    <w:p w14:paraId="23641EFE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在 50000 条原始样本实验中，经过上述数据清洗和轨迹筛选后，最终保留了 48177 条有效轨迹。该数据量用于前期模型选择、参数比较和方法验证。全量实验中，原始数据共有 1710670 条记录，清洗后得到 1668152 条有效终点样本，用于验证最终模型在大规模数据上的表现。数据处理后的基本情况如表 2-2 所示。</w:t>
      </w:r>
    </w:p>
    <w:p w14:paraId="7EB5080E">
      <w:pPr>
        <w:adjustRightInd w:val="0"/>
        <w:snapToGrid w:val="0"/>
        <w:spacing w:line="312" w:lineRule="auto"/>
        <w:ind w:firstLine="422" w:firstLineChars="200"/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6"/>
        </w:rPr>
        <w:t>表 2-2 数据处理后的基本情况</w:t>
      </w:r>
    </w:p>
    <w:tbl>
      <w:tblPr>
        <w:tblStyle w:val="14"/>
        <w:tblW w:w="8522" w:type="dxa"/>
        <w:jc w:val="center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399"/>
        <w:gridCol w:w="1498"/>
        <w:gridCol w:w="1498"/>
        <w:gridCol w:w="4127"/>
      </w:tblGrid>
      <w:tr w14:paraId="7868B108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399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27E6FF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数据规模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B1C69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原始记录数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AA911F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有效记录数</w:t>
            </w:r>
          </w:p>
        </w:tc>
        <w:tc>
          <w:tcPr>
            <w:tcW w:w="4127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AEA72E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用途</w:t>
            </w:r>
          </w:p>
        </w:tc>
      </w:tr>
      <w:tr w14:paraId="2B1FCF81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39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A37AB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样本实验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91B45B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50000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48733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48177</w:t>
            </w:r>
          </w:p>
        </w:tc>
        <w:tc>
          <w:tcPr>
            <w:tcW w:w="412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D658FE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用于模型选择、参数比较和方法验证</w:t>
            </w:r>
          </w:p>
        </w:tc>
      </w:tr>
      <w:tr w14:paraId="0DBEC343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39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7C35B3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全量实验</w:t>
            </w:r>
          </w:p>
        </w:tc>
        <w:tc>
          <w:tcPr>
            <w:tcW w:w="149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50D4BA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1710670</w:t>
            </w:r>
          </w:p>
        </w:tc>
        <w:tc>
          <w:tcPr>
            <w:tcW w:w="149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FA63C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1668152</w:t>
            </w:r>
          </w:p>
        </w:tc>
        <w:tc>
          <w:tcPr>
            <w:tcW w:w="4127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932C74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用于最终模型效果验证</w:t>
            </w:r>
          </w:p>
        </w:tc>
      </w:tr>
    </w:tbl>
    <w:p w14:paraId="459687E1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</w:p>
    <w:p w14:paraId="47F49E15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完成清洗后，程序将每条完整轨迹切分为“前缀轨迹”和“真实终点”。真实终点取完整轨迹最后一个 GPS 点。前缀部分分别取完整轨迹的 20%、40% 和 60%，对应行程早期、中段和较后阶段的预测场景。</w:t>
      </w:r>
    </w:p>
    <w:p w14:paraId="5E6674F7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特征工程围绕位置、时间、方向和前缀状态展开。程序从前缀轨迹中提取多类特征。这样可以更完整地描述车辆已经行驶的状态。</w:t>
      </w:r>
    </w:p>
    <w:p w14:paraId="03854014">
      <w:pPr>
        <w:adjustRightInd w:val="0"/>
        <w:snapToGrid w:val="0"/>
        <w:spacing w:line="312" w:lineRule="auto"/>
        <w:ind w:firstLine="422" w:firstLineChars="200"/>
        <w:jc w:val="center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Style w:val="16"/>
          <w:rFonts w:hint="eastAsia" w:ascii="Times New Roman" w:hAnsi="Times New Roman" w:eastAsia="宋体" w:cs="Times New Roman"/>
          <w:b/>
          <w:bCs/>
        </w:rPr>
        <w:t>表 2-</w:t>
      </w:r>
      <w:r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Style w:val="16"/>
          <w:rFonts w:hint="eastAsia" w:ascii="Times New Roman" w:hAnsi="Times New Roman" w:eastAsia="宋体" w:cs="Times New Roman"/>
          <w:b/>
          <w:bCs/>
        </w:rPr>
        <w:t xml:space="preserve"> 前缀轨迹特征设计</w:t>
      </w:r>
    </w:p>
    <w:tbl>
      <w:tblPr>
        <w:tblStyle w:val="14"/>
        <w:tblW w:w="8522" w:type="dxa"/>
        <w:jc w:val="center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616"/>
        <w:gridCol w:w="4656"/>
        <w:gridCol w:w="2250"/>
      </w:tblGrid>
      <w:tr w14:paraId="29F2F65E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616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52E41A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特征类别</w:t>
            </w:r>
          </w:p>
        </w:tc>
        <w:tc>
          <w:tcPr>
            <w:tcW w:w="4656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1E20E7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主要特征</w:t>
            </w:r>
          </w:p>
        </w:tc>
        <w:tc>
          <w:tcPr>
            <w:tcW w:w="2250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0FBA5D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含义</w:t>
            </w:r>
          </w:p>
        </w:tc>
      </w:tr>
      <w:tr w14:paraId="281BD0BA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1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12180F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位置特征</w:t>
            </w:r>
          </w:p>
        </w:tc>
        <w:tc>
          <w:tcPr>
            <w:tcW w:w="465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A98A4F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start_lng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start_lat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current_lng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current_lat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B1DE03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起点和当前点位置</w:t>
            </w:r>
          </w:p>
        </w:tc>
      </w:tr>
      <w:tr w14:paraId="10E8F12F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F80068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轨迹采样点</w:t>
            </w:r>
          </w:p>
        </w:tc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31F488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p25_lng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p25_lat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p50_lng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p50_lat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p75_lng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p75_lat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AEF7AF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保留前缀轨迹中间形态</w:t>
            </w:r>
          </w:p>
        </w:tc>
      </w:tr>
      <w:tr w14:paraId="24A3CF3D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CCFBD0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时间特征</w:t>
            </w:r>
          </w:p>
        </w:tc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E7FC3B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hour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weekday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is_weekend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97F345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出发时间和星期信息</w:t>
            </w:r>
          </w:p>
        </w:tc>
      </w:tr>
      <w:tr w14:paraId="431F3D34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238D23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前缀状态</w:t>
            </w:r>
          </w:p>
        </w:tc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5A69E3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prefix_len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prefix_duration_sec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prefix_distance_km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AE2B1F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已观察到的轨迹长度、时间和距离</w:t>
            </w:r>
          </w:p>
        </w:tc>
      </w:tr>
      <w:tr w14:paraId="72B9B8D0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C256C7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速度与距离</w:t>
            </w:r>
          </w:p>
        </w:tc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F02256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prefix_avg_speed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direct_distance_km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0B7A9F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平均速度和起点到当前点直线距离</w:t>
            </w:r>
          </w:p>
        </w:tc>
      </w:tr>
      <w:tr w14:paraId="7F0856A6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1B40CC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方向与形态</w:t>
            </w:r>
          </w:p>
        </w:tc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AE3CCB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direction_angle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recent_direction_angle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angle_change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tortuosity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12EE67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行驶方向、方向变化和轨迹弯曲程度</w:t>
            </w:r>
          </w:p>
        </w:tc>
      </w:tr>
      <w:tr w14:paraId="566FDF76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1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8DF1F3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分段距离</w:t>
            </w:r>
          </w:p>
        </w:tc>
        <w:tc>
          <w:tcPr>
            <w:tcW w:w="465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E681E4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seg_d1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seg_d2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seg_d3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、</w:t>
            </w:r>
            <w:r>
              <w:rPr>
                <w:rStyle w:val="17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seg_d4</w:t>
            </w:r>
          </w:p>
        </w:tc>
        <w:tc>
          <w:tcPr>
            <w:tcW w:w="225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E57BAD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前缀不同阶段的运动变化</w:t>
            </w:r>
          </w:p>
        </w:tc>
      </w:tr>
    </w:tbl>
    <w:p w14:paraId="6C5AD766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</w:p>
    <w:p w14:paraId="58D7B776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特征设计的出发点是避免模型只依赖当前点。两辆出租车即使位于相同位置，只要出发点、行驶方向、速度和前缀轨迹形状不同，最终目的地也可能不同。</w:t>
      </w:r>
    </w:p>
    <w:p w14:paraId="663129CD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模型设计从简单基线开始。Baseline_CurrentPoint 直接将前缀轨迹最后一个点作为预测终点，不需要训练。该方法用于衡量后续模型是否真正有效。50000 样本实验中，该基线在 20%、40%、60% 前缀下的平均误差分别为 3.2147 km、2.5852 km 和 1.7087 km。随着前缀比例增加，基线误差明显下降，但 60% 前缀下仍有约 1.7 km 的平均误差，说明仅使用当前位置仍然不够。</w:t>
      </w:r>
    </w:p>
    <w:p w14:paraId="1B678E8C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基础模型比较阶段，程序测试了 KNN、RandomForest、ExtraTrees、HistGradientBoosting、XGBoost 和 XGBoostDeep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（</w:t>
      </w:r>
      <w:r>
        <w:rPr>
          <w:rFonts w:ascii="宋体" w:hAnsi="宋体" w:eastAsia="宋体" w:cs="宋体"/>
          <w:sz w:val="24"/>
          <w:szCs w:val="24"/>
        </w:rPr>
        <w:t>增强参数版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="宋体" w:cs="Times New Roman"/>
          <w:sz w:val="24"/>
          <w:szCs w:val="24"/>
        </w:rPr>
        <w:t>。所有模型都使用相同的前缀轨迹特征，输出形式都是终点经纬度。实验结果如表 2-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 所示。</w:t>
      </w:r>
    </w:p>
    <w:p w14:paraId="70A74788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</w:rPr>
      </w:pPr>
      <w:r>
        <w:rPr>
          <w:rStyle w:val="16"/>
          <w:rFonts w:hint="eastAsia" w:ascii="Times New Roman" w:hAnsi="Times New Roman" w:eastAsia="宋体" w:cs="Times New Roman"/>
          <w:b/>
          <w:bCs/>
        </w:rPr>
        <w:t>表 2-</w:t>
      </w:r>
      <w:r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Style w:val="16"/>
          <w:rFonts w:hint="eastAsia" w:ascii="Times New Roman" w:hAnsi="Times New Roman" w:eastAsia="宋体" w:cs="Times New Roman"/>
          <w:b/>
          <w:bCs/>
        </w:rPr>
        <w:t xml:space="preserve"> 基础模型平均误差对比</w:t>
      </w:r>
    </w:p>
    <w:tbl>
      <w:tblPr>
        <w:tblStyle w:val="14"/>
        <w:tblW w:w="8519" w:type="dxa"/>
        <w:jc w:val="center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329"/>
        <w:gridCol w:w="1730"/>
        <w:gridCol w:w="1730"/>
        <w:gridCol w:w="1730"/>
      </w:tblGrid>
      <w:tr w14:paraId="0F0EEDD6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443B9E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模型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D73E8C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20%前缀/km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822F54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40%前缀/km</w:t>
            </w:r>
          </w:p>
        </w:tc>
        <w:tc>
          <w:tcPr>
            <w:tcW w:w="1730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647DEC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60%前缀/km</w:t>
            </w:r>
          </w:p>
        </w:tc>
      </w:tr>
      <w:tr w14:paraId="6CAFAA46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AEDF06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Baseline_CurrentPoint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C4E52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3.2147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0C6EE3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2.5852</w:t>
            </w:r>
          </w:p>
        </w:tc>
        <w:tc>
          <w:tcPr>
            <w:tcW w:w="173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219A9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1.7087</w:t>
            </w:r>
          </w:p>
        </w:tc>
      </w:tr>
      <w:tr w14:paraId="4460287C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1A32F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RandomForest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0E036E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2.3498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F60DC8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1.6836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C5BCB8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1.0383</w:t>
            </w:r>
          </w:p>
        </w:tc>
      </w:tr>
      <w:tr w14:paraId="1900873D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59AC98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ExtraTrees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B26D72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2.3322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BBAD0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1.6701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29070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1.0347</w:t>
            </w:r>
          </w:p>
        </w:tc>
      </w:tr>
      <w:tr w14:paraId="3E85C1A8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124800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HistGradientBoosting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50F9B4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2.4242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83BFA6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1.7854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1942F6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1.1447</w:t>
            </w:r>
          </w:p>
        </w:tc>
      </w:tr>
      <w:tr w14:paraId="1654A0C0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286108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KNN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157F47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2.4892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CB14A5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1.8464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42C87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1.2489</w:t>
            </w:r>
          </w:p>
        </w:tc>
      </w:tr>
      <w:tr w14:paraId="2C397DAC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2C2C60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XGBoost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336386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2.3533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B7078F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1.7144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F7B94B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1.0858</w:t>
            </w:r>
          </w:p>
        </w:tc>
      </w:tr>
      <w:tr w14:paraId="6BE6BAF8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32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D88A2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XGBoostDeep</w:t>
            </w:r>
          </w:p>
        </w:tc>
        <w:tc>
          <w:tcPr>
            <w:tcW w:w="173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5104F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2.3247</w:t>
            </w:r>
          </w:p>
        </w:tc>
        <w:tc>
          <w:tcPr>
            <w:tcW w:w="173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01E15E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1.6686</w:t>
            </w:r>
          </w:p>
        </w:tc>
        <w:tc>
          <w:tcPr>
            <w:tcW w:w="173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33948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1.0459</w:t>
            </w:r>
          </w:p>
        </w:tc>
      </w:tr>
    </w:tbl>
    <w:p w14:paraId="2B44B401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</w:p>
    <w:p w14:paraId="0E713D50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从基础模型结果看，所有机器学习模型都明显优于</w:t>
      </w:r>
      <w:r>
        <w:rPr>
          <w:rFonts w:ascii="宋体" w:hAnsi="宋体" w:eastAsia="宋体" w:cs="宋体"/>
          <w:sz w:val="24"/>
          <w:szCs w:val="24"/>
        </w:rPr>
        <w:t>当前点基线</w:t>
      </w:r>
      <w:r>
        <w:rPr>
          <w:rFonts w:hint="eastAsia" w:ascii="Times New Roman" w:hAnsi="Times New Roman" w:eastAsia="宋体" w:cs="Times New Roman"/>
          <w:sz w:val="24"/>
          <w:szCs w:val="24"/>
        </w:rPr>
        <w:t>（Baseline_CurrentPoint）</w:t>
      </w:r>
      <w:r>
        <w:rPr>
          <w:rFonts w:hint="eastAsia" w:ascii="Times New Roman" w:hAnsi="Times New Roman" w:eastAsia="宋体" w:cs="Times New Roman"/>
          <w:sz w:val="24"/>
          <w:szCs w:val="24"/>
        </w:rPr>
        <w:t>，说明前缀特征对终点预测有效。KNN 的效果相对较弱，说明只依赖普通特征空间中的近邻样本不够稳定。随机森林和 ExtraTrees 能处理非线性关系，效果优于 KNN。XGBoostDeep 在 20% 和 40% 前缀下表现最好，在 60% 前缀下虽然略低于 ExtraTrees，但整体稳定性更强。因此，后续模型设计选择 XGBoostDeep 作为主要强基准。</w:t>
      </w:r>
    </w:p>
    <w:p w14:paraId="26A502F8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</w:rPr>
      </w:pPr>
      <w:r>
        <w:rPr>
          <w:rStyle w:val="16"/>
          <w:rFonts w:hint="eastAsia" w:ascii="Times New Roman" w:hAnsi="Times New Roman" w:eastAsia="宋体" w:cs="Times New Roman"/>
          <w:b/>
          <w:bCs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139700</wp:posOffset>
            </wp:positionV>
            <wp:extent cx="6069330" cy="5862955"/>
            <wp:effectExtent l="0" t="0" r="1270" b="4445"/>
            <wp:wrapSquare wrapText="bothSides"/>
            <wp:docPr id="14" name="图片 14" descr="diagram-flow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iagram-flowchar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586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  <w:t xml:space="preserve">图2 </w:t>
      </w:r>
      <w:r>
        <w:rPr>
          <w:rStyle w:val="16"/>
          <w:rFonts w:hint="eastAsia" w:ascii="Times New Roman" w:hAnsi="Times New Roman" w:eastAsia="宋体" w:cs="Times New Roman"/>
          <w:b/>
          <w:bCs/>
        </w:rPr>
        <w:t>模型选择与实验路线图</w:t>
      </w:r>
    </w:p>
    <w:p w14:paraId="08E3DF42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default" w:ascii="Times New Roman" w:hAnsi="Times New Roman" w:eastAsia="宋体" w:cs="Times New Roman"/>
          <w:b/>
          <w:bCs/>
          <w:lang w:val="en-US" w:eastAsia="zh-CN"/>
        </w:rPr>
      </w:pPr>
    </w:p>
    <w:p w14:paraId="399C4468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在确定强基准后，继续尝试两类更贴合轨迹任务的数据分析方向：轨迹相似度分析和终点聚类分析。</w:t>
      </w:r>
    </w:p>
    <w:p w14:paraId="072E3C8F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轨迹相似度分析的出发点是：如果两条出租车在前缀阶段的轨迹形状相似，它们可能具有相似的目的地区域。程序将前缀轨迹中的起点、中间采样点和当前点转换为固定长度向量，在训练集中查找相似轨迹，并用相似轨迹的真实终点进行加权预测。该方法不只是为了追求误差下降，也用于验证“轨迹形状相似性”是否能为终点预测提供额外信息。</w:t>
      </w:r>
    </w:p>
    <w:p w14:paraId="0346D850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实验结果显示，轨迹相似度单独预测优于简单基线，但弱于 XGBoostDeep；将相似轨迹预测结果、近邻距离和近邻终点离散程度加入 XGBoost 后，只带来小幅提升。说明轨迹相似度具有解释价值，但不能作为最终主模型。</w:t>
      </w:r>
    </w:p>
    <w:p w14:paraId="615946EE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出租车终点通常不会均匀分布在城市空间中，而是集中在若干高频区域，如交通枢纽、商业区、住宅区或道路节点附近。全量终点聚类实验中，轮廓系数约为 0.4078，说明终点存在一定空间聚集结构。直接回归经纬度时，模型需要在整个城市范围内一次性预测终点；聚类方法可以先判断大致目的地区域，再在该区域内部预测具体位置，更符合终点分布特点。</w:t>
      </w:r>
    </w:p>
    <w:p w14:paraId="29FB1A4C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基于这两类分析，程序进一步比较了轨迹相似度增强模型、终点聚类模型和混合模型。主要结果如表 2-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 所示。</w:t>
      </w:r>
    </w:p>
    <w:p w14:paraId="586102A8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</w:rPr>
      </w:pPr>
      <w:r>
        <w:rPr>
          <w:rStyle w:val="16"/>
          <w:rFonts w:hint="eastAsia" w:ascii="Times New Roman" w:hAnsi="Times New Roman" w:eastAsia="宋体" w:cs="Times New Roman"/>
          <w:b/>
          <w:bCs/>
        </w:rPr>
        <w:t>表 2-</w:t>
      </w:r>
      <w:r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  <w:t>5</w:t>
      </w:r>
      <w:r>
        <w:rPr>
          <w:rStyle w:val="16"/>
          <w:rFonts w:hint="eastAsia" w:ascii="Times New Roman" w:hAnsi="Times New Roman" w:eastAsia="宋体" w:cs="Times New Roman"/>
          <w:b/>
          <w:bCs/>
        </w:rPr>
        <w:t xml:space="preserve"> 改进模型平均误差对比</w:t>
      </w:r>
    </w:p>
    <w:tbl>
      <w:tblPr>
        <w:tblStyle w:val="14"/>
        <w:tblW w:w="8519" w:type="dxa"/>
        <w:jc w:val="center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952"/>
        <w:gridCol w:w="1522"/>
        <w:gridCol w:w="1522"/>
        <w:gridCol w:w="1523"/>
      </w:tblGrid>
      <w:tr w14:paraId="529ECF87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F9226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模型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1052C0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20%前缀/km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153F00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40%前缀/km</w:t>
            </w:r>
          </w:p>
        </w:tc>
        <w:tc>
          <w:tcPr>
            <w:tcW w:w="1523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609177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60%前缀/km</w:t>
            </w:r>
          </w:p>
        </w:tc>
      </w:tr>
      <w:tr w14:paraId="21BF5BAD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CF544E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XGBoostDeep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872375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2.3247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F7E1D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1.6686</w:t>
            </w:r>
          </w:p>
        </w:tc>
        <w:tc>
          <w:tcPr>
            <w:tcW w:w="152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72282F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1.0459</w:t>
            </w:r>
          </w:p>
        </w:tc>
      </w:tr>
      <w:tr w14:paraId="4CA8C1E8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1FD513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TrajectorySimilarityOnly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CAAB66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2.4606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0A9AD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1.8277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3617A2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1.1807</w:t>
            </w:r>
          </w:p>
        </w:tc>
      </w:tr>
      <w:tr w14:paraId="5CB5A214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C0A953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SimilarityEnhancedXGBoost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9AEE21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2.3111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7F7C8E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1.6635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FD6464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1.0472</w:t>
            </w:r>
          </w:p>
        </w:tc>
      </w:tr>
      <w:tr w14:paraId="6DEC3B1F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50463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ClusterTop3OffsetXGBoost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03B53D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2.3932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13568B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1.6557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928BCD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1.0190</w:t>
            </w:r>
          </w:p>
        </w:tc>
      </w:tr>
      <w:tr w14:paraId="13BF5898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3070BB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ClusterTop30OffsetXGBoost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7D6338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2.3053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8DE4E2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1.6345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E562C4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1.0065</w:t>
            </w:r>
          </w:p>
        </w:tc>
      </w:tr>
      <w:tr w14:paraId="42CB50B0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95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DE5BC8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ClusterTop30OffsetXGBoostDeep</w:t>
            </w:r>
          </w:p>
        </w:tc>
        <w:tc>
          <w:tcPr>
            <w:tcW w:w="152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A9CF51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2.3039</w:t>
            </w:r>
          </w:p>
        </w:tc>
        <w:tc>
          <w:tcPr>
            <w:tcW w:w="152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1F172F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1.6324</w:t>
            </w:r>
          </w:p>
        </w:tc>
        <w:tc>
          <w:tcPr>
            <w:tcW w:w="152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066816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1.0047</w:t>
            </w:r>
          </w:p>
        </w:tc>
      </w:tr>
    </w:tbl>
    <w:p w14:paraId="0CF54988">
      <w:pPr>
        <w:adjustRightInd w:val="0"/>
        <w:snapToGrid w:val="0"/>
        <w:spacing w:line="360" w:lineRule="auto"/>
        <w:rPr>
          <w:rFonts w:hint="eastAsia" w:ascii="Times New Roman" w:hAnsi="Times New Roman" w:eastAsia="宋体" w:cs="Times New Roman"/>
          <w:sz w:val="24"/>
          <w:szCs w:val="24"/>
        </w:rPr>
      </w:pPr>
    </w:p>
    <w:p w14:paraId="01BD5546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程序设计了 ClusterTop30OffsetXGBoostDeep：先用 KMeans 将训练集终点划分为 50 个聚类区域，再用 XGBoost 分类器预测测试轨迹可能到达的 Top-30 个区域，随后将前缀特征与候选聚类中心拼接，使用 XGBoost 回归终点相对聚类中心的偏移量。在保留聚类结构的同时，提高区域内部精细定位能力。</w:t>
      </w:r>
    </w:p>
    <w:p w14:paraId="227E78FB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</w:rPr>
      </w:pPr>
      <w:r>
        <w:rPr>
          <w:rStyle w:val="16"/>
          <w:rFonts w:hint="eastAsia" w:ascii="Times New Roman" w:hAnsi="Times New Roman" w:eastAsia="宋体" w:cs="Times New Roman"/>
          <w:b/>
          <w:bCs/>
        </w:rPr>
        <w:t>表 2-</w:t>
      </w:r>
      <w:r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  <w:t>6</w:t>
      </w:r>
      <w:r>
        <w:rPr>
          <w:rStyle w:val="16"/>
          <w:rFonts w:hint="eastAsia" w:ascii="Times New Roman" w:hAnsi="Times New Roman" w:eastAsia="宋体" w:cs="Times New Roman"/>
          <w:b/>
          <w:bCs/>
        </w:rPr>
        <w:t xml:space="preserve"> ClusterTop30 普通版与 Deep 版对比</w:t>
      </w:r>
    </w:p>
    <w:tbl>
      <w:tblPr>
        <w:tblStyle w:val="14"/>
        <w:tblW w:w="8559" w:type="dxa"/>
        <w:jc w:val="center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270"/>
        <w:gridCol w:w="2752"/>
        <w:gridCol w:w="2633"/>
        <w:gridCol w:w="1904"/>
      </w:tblGrid>
      <w:tr w14:paraId="0768F96A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6076D93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rFonts w:hint="eastAsia"/>
                <w:b/>
                <w:bCs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前缀比例</w:t>
            </w:r>
          </w:p>
        </w:tc>
        <w:tc>
          <w:tcPr>
            <w:tcW w:w="2752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FB795E1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rFonts w:hint="eastAsia"/>
                <w:b/>
                <w:bCs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普通 ClusterTop30/km</w:t>
            </w:r>
          </w:p>
        </w:tc>
        <w:tc>
          <w:tcPr>
            <w:tcW w:w="2633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4953D25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rFonts w:hint="eastAsia"/>
                <w:b/>
                <w:bCs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ClusterTop30Deep/km</w:t>
            </w:r>
          </w:p>
        </w:tc>
        <w:tc>
          <w:tcPr>
            <w:tcW w:w="1904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9068965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rFonts w:hint="eastAsia"/>
                <w:b/>
                <w:bCs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Top-30 命中率</w:t>
            </w:r>
          </w:p>
        </w:tc>
      </w:tr>
      <w:tr w14:paraId="65E7401A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BB66006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20%</w:t>
            </w:r>
          </w:p>
        </w:tc>
        <w:tc>
          <w:tcPr>
            <w:tcW w:w="275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A598D51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2.3053</w:t>
            </w:r>
          </w:p>
        </w:tc>
        <w:tc>
          <w:tcPr>
            <w:tcW w:w="263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935FADD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2.3039</w:t>
            </w:r>
          </w:p>
        </w:tc>
        <w:tc>
          <w:tcPr>
            <w:tcW w:w="190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95CFBE1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0.9601</w:t>
            </w:r>
          </w:p>
        </w:tc>
      </w:tr>
      <w:tr w14:paraId="2C1037E6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91AA103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40%</w:t>
            </w:r>
          </w:p>
        </w:tc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2CCBEB7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1.6345</w:t>
            </w:r>
          </w:p>
        </w:tc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5666A47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1.6324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B664BC4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0.9825</w:t>
            </w:r>
          </w:p>
        </w:tc>
      </w:tr>
      <w:tr w14:paraId="73BCA7C4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27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5A4A333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60%</w:t>
            </w:r>
          </w:p>
        </w:tc>
        <w:tc>
          <w:tcPr>
            <w:tcW w:w="275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EBFE14E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1.0065</w:t>
            </w:r>
          </w:p>
        </w:tc>
        <w:tc>
          <w:tcPr>
            <w:tcW w:w="263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BC820ED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1.0047</w:t>
            </w:r>
          </w:p>
        </w:tc>
        <w:tc>
          <w:tcPr>
            <w:tcW w:w="190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6853169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0.9920</w:t>
            </w:r>
          </w:p>
        </w:tc>
      </w:tr>
    </w:tbl>
    <w:p w14:paraId="664985F1">
      <w:pPr>
        <w:adjustRightInd w:val="0"/>
        <w:snapToGrid w:val="0"/>
        <w:spacing w:line="360" w:lineRule="auto"/>
        <w:rPr>
          <w:rFonts w:hint="eastAsia" w:ascii="Times New Roman" w:hAnsi="Times New Roman" w:eastAsia="宋体" w:cs="Times New Roman"/>
          <w:sz w:val="24"/>
          <w:szCs w:val="24"/>
        </w:rPr>
      </w:pPr>
    </w:p>
    <w:p w14:paraId="0FC7B2ED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该模型不是单纯堆叠复杂模型，而是利用了两个已被实验验证的信息：一是 XGBoostDeep 适合作为强基准学习器，二是终点具有明显聚集结构。模型将终点预测拆成“候选区域判断”和“区域内偏移回归”两个步骤，既保留了分类方法对多目的地区域的表达能力，也保留了回归方法对连续经纬度的精细预测能力。</w:t>
      </w:r>
    </w:p>
    <w:p w14:paraId="0E1753CC">
      <w:pPr>
        <w:pStyle w:val="4"/>
        <w:snapToGrid w:val="0"/>
        <w:spacing w:before="93" w:beforeLines="30" w:after="0" w:line="360" w:lineRule="auto"/>
        <w:rPr>
          <w:rFonts w:hint="eastAsia" w:ascii="Times New Roman" w:hAnsi="Times New Roman" w:eastAsia="黑体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2.2 算法描述</w:t>
      </w:r>
    </w:p>
    <w:p w14:paraId="54B7018F">
      <w:pPr>
        <w:adjustRightInd w:val="0"/>
        <w:snapToGrid w:val="0"/>
        <w:spacing w:line="312" w:lineRule="auto"/>
        <w:ind w:firstLine="480" w:firstLineChars="200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587375</wp:posOffset>
            </wp:positionH>
            <wp:positionV relativeFrom="paragraph">
              <wp:posOffset>1125220</wp:posOffset>
            </wp:positionV>
            <wp:extent cx="4302760" cy="7106920"/>
            <wp:effectExtent l="0" t="0" r="2540" b="5080"/>
            <wp:wrapNone/>
            <wp:docPr id="16" name="图片 16" descr="diagram-flowchart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iagram-flowchart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本实验的算法流程由三部分组成：轨迹前缀构造、特征提取和终点预测模型。程序首先将原始轨迹清洗并切分为不同长度的前缀轨迹，然后从前缀中提取位置、时间、方向和运动状态特征，最后使用 ClusterTop30OffsetXGBoostDeep 预测终点经纬度。该模型先判断车辆可能到达的候选终点区域，再在候选区域内部预测具体位置。</w:t>
      </w:r>
    </w:p>
    <w:p w14:paraId="72F33ECA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3F4218E0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65004A0F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395A08D3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7CBF9A6C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37AB4CCA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60D3074B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6A4D231A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1118C111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5DED6289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0317BA11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38735C8F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42D2700B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74884950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0C8BE55C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32BBDCC2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65767698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7CF61718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7584FE9F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15F8473D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4D1CDDDF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2CBC9891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2539DC68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470DAAF6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0C781719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661CF996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340FF940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018B387E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08DA8422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44253900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56B33724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397282BE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7D7AE978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0C92018F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2EBC9BC9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69D75B1F">
      <w:pPr>
        <w:adjustRightInd w:val="0"/>
        <w:snapToGrid w:val="0"/>
        <w:spacing w:line="312" w:lineRule="auto"/>
        <w:ind w:firstLine="422" w:firstLineChars="200"/>
        <w:jc w:val="center"/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  <w:t xml:space="preserve">图3 </w:t>
      </w:r>
      <w:r>
        <w:rPr>
          <w:rStyle w:val="16"/>
          <w:rFonts w:hint="eastAsia" w:ascii="Times New Roman" w:hAnsi="Times New Roman" w:eastAsia="宋体" w:cs="Times New Roman"/>
          <w:b/>
          <w:bCs/>
        </w:rPr>
        <w:t>ClusterTop30OffsetXGBoostDeep 算法流程图</w:t>
      </w:r>
    </w:p>
    <w:p w14:paraId="76276A28">
      <w:pPr>
        <w:pStyle w:val="4"/>
        <w:snapToGrid w:val="0"/>
        <w:spacing w:before="93" w:beforeLines="30" w:after="0" w:line="360" w:lineRule="auto"/>
        <w:rPr>
          <w:rFonts w:hint="eastAsia"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</w:rPr>
        <w:t>2.2.1 轨迹前缀构造</w:t>
      </w:r>
    </w:p>
    <w:p w14:paraId="16BB42DC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设第 </w:t>
      </w:r>
      <m:oMath>
        <m:r>
          <m:rPr>
            <m:sty m:val="p"/>
          </m:rPr>
          <w:rPr>
            <w:rFonts w:hint="default" w:ascii="Times New Roman" w:hAnsi="Times New Roman" w:eastAsia="宋体" w:cs="Times New Roman"/>
            <w:sz w:val="24"/>
            <w:szCs w:val="24"/>
            <w:lang w:val="en-US" w:eastAsia="zh-CN"/>
          </w:rPr>
          <m:t>i</m:t>
        </m:r>
      </m:oMath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条完整轨迹为 </w:t>
      </w:r>
      <m:oMath>
        <m:sSub>
          <m:sSubPr>
            <m:ctrlPr>
              <w:rPr>
                <w:rFonts w:hint="default" w:ascii="Cambria Math" w:hAnsi="Cambria Math" w:eastAsia="宋体" w:cs="Times New Roman"/>
                <w:sz w:val="24"/>
                <w:szCs w:val="24"/>
                <w:lang w:val="en-US" w:eastAsia="zh-CN"/>
              </w:rPr>
            </m:ctrlPr>
          </m:sSubPr>
          <m:e>
            <m:r>
              <m:rPr>
                <m:sty m:val="p"/>
              </m:rP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m:t>T</m:t>
            </m:r>
            <m:ctrlPr>
              <w:rPr>
                <w:rFonts w:hint="eastAsia" w:ascii="Cambria Math" w:hAnsi="Cambria Math" w:eastAsia="宋体" w:cs="Times New Roman"/>
                <w:sz w:val="24"/>
                <w:szCs w:val="24"/>
                <w:lang w:val="en-US" w:eastAsia="zh-CN"/>
              </w:rPr>
            </m:ctrlPr>
          </m:e>
          <m:sub>
            <m:r>
              <m:rPr>
                <m:sty m:val="p"/>
              </m:rP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m:t>i</m:t>
            </m:r>
            <m:ctrlPr>
              <w:rPr>
                <w:rFonts w:hint="eastAsia" w:ascii="Cambria Math" w:hAnsi="Cambria Math" w:eastAsia="宋体" w:cs="Times New Roman"/>
                <w:sz w:val="24"/>
                <w:szCs w:val="24"/>
                <w:lang w:val="en-US" w:eastAsia="zh-CN"/>
              </w:rPr>
            </m:ctrlPr>
          </m:sub>
        </m:sSub>
      </m:oMath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，其中包含 </w:t>
      </w:r>
      <m:oMath>
        <m:sSub>
          <m:sSubPr>
            <m:ctrlPr>
              <w:rPr>
                <w:rFonts w:hint="default" w:ascii="Cambria Math" w:hAnsi="Cambria Math" w:eastAsia="宋体" w:cs="Times New Roman"/>
                <w:sz w:val="24"/>
                <w:szCs w:val="24"/>
                <w:lang w:val="en-US" w:eastAsia="zh-CN"/>
              </w:rPr>
            </m:ctrlPr>
          </m:sSubPr>
          <m:e>
            <m:r>
              <m:rPr>
                <m:sty m:val="p"/>
              </m:rP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m:t>n</m:t>
            </m:r>
            <m:ctrlPr>
              <w:rPr>
                <w:rFonts w:hint="eastAsia" w:ascii="Cambria Math" w:hAnsi="Cambria Math" w:eastAsia="宋体" w:cs="Times New Roman"/>
                <w:sz w:val="24"/>
                <w:szCs w:val="24"/>
                <w:lang w:val="en-US" w:eastAsia="zh-CN"/>
              </w:rPr>
            </m:ctrlPr>
          </m:e>
          <m:sub>
            <m:r>
              <m:rPr>
                <m:sty m:val="p"/>
              </m:rP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m:t>i</m:t>
            </m:r>
            <m:ctrlPr>
              <w:rPr>
                <w:rFonts w:hint="eastAsia" w:ascii="Cambria Math" w:hAnsi="Cambria Math" w:eastAsia="宋体" w:cs="Times New Roman"/>
                <w:sz w:val="24"/>
                <w:szCs w:val="24"/>
                <w:lang w:val="en-US" w:eastAsia="zh-CN"/>
              </w:rPr>
            </m:ctrlPr>
          </m:sub>
        </m:sSub>
      </m:oMath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个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GPS 点。每个轨迹点由经度和纬度组成。对于前缀比例 </w:t>
      </w:r>
      <m:oMath>
        <m:r>
          <m:rPr>
            <m:sty m:val="p"/>
          </m:rPr>
          <w:rPr>
            <w:rFonts w:hint="default" w:ascii="Times New Roman" w:hAnsi="Times New Roman" w:eastAsia="宋体" w:cs="Times New Roman"/>
            <w:sz w:val="24"/>
            <w:szCs w:val="24"/>
            <w:lang w:val="en-US" w:eastAsia="zh-CN"/>
          </w:rPr>
          <m:t>r</m:t>
        </m:r>
      </m:oMath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，程序截取前 </w:t>
      </w:r>
      <m:oMath>
        <m:sSub>
          <m:sSubPr>
            <m:ctrlPr>
              <w:rPr>
                <w:rFonts w:hint="default" w:ascii="Cambria Math" w:hAnsi="Cambria Math" w:eastAsia="宋体" w:cs="Times New Roman"/>
                <w:sz w:val="24"/>
                <w:szCs w:val="24"/>
                <w:lang w:val="en-US" w:eastAsia="zh-CN"/>
              </w:rPr>
            </m:ctrlPr>
          </m:sSubPr>
          <m:e>
            <m:r>
              <m:rPr>
                <m:sty m:val="p"/>
              </m:rP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m:t>m</m:t>
            </m:r>
            <m:ctrlPr>
              <w:rPr>
                <w:rFonts w:hint="eastAsia" w:ascii="Cambria Math" w:hAnsi="Cambria Math" w:eastAsia="宋体" w:cs="Times New Roman"/>
                <w:sz w:val="24"/>
                <w:szCs w:val="24"/>
                <w:lang w:val="en-US" w:eastAsia="zh-CN"/>
              </w:rPr>
            </m:ctrlPr>
          </m:e>
          <m:sub>
            <m:r>
              <m:rPr>
                <m:sty m:val="p"/>
              </m:rP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m:t>i</m:t>
            </m:r>
            <m:ctrlPr>
              <w:rPr>
                <w:rFonts w:hint="eastAsia" w:ascii="Cambria Math" w:hAnsi="Cambria Math" w:eastAsia="宋体" w:cs="Times New Roman"/>
                <w:sz w:val="24"/>
                <w:szCs w:val="24"/>
                <w:lang w:val="en-US" w:eastAsia="zh-CN"/>
              </w:rPr>
            </m:ctrlPr>
          </m:sub>
        </m:sSub>
      </m:oMath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个轨迹点作为输入，并将完整轨迹最后一个点作为真实终点。</w:t>
      </w:r>
    </w:p>
    <w:p w14:paraId="2ED77A8E">
      <w:pPr>
        <w:adjustRightInd w:val="0"/>
        <w:snapToGrid w:val="0"/>
        <w:spacing w:line="360" w:lineRule="auto"/>
        <w:ind w:firstLine="480" w:firstLineChars="200"/>
        <m:rPr/>
        <w:rPr>
          <w:rFonts w:hint="default" w:ascii="宋体" w:hAnsi="宋体" w:eastAsia="宋体" w:cs="宋体"/>
          <w:sz w:val="24"/>
          <w:szCs w:val="24"/>
          <w:lang w:val="en-US" w:eastAsia="zh-CN"/>
        </w:rPr>
      </w:pPr>
      <m:oMathPara>
        <m:oMath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T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={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p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i1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,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p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i2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,…,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p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</m:t>
              </m:r>
              <m:sSub>
                <m:sSubP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n</m:t>
                  </m:r>
                  <m:ctrlPr>
                    <w:rPr>
                      <w:rFonts w:hint="eastAsia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i</m:t>
                  </m:r>
                  <m:ctrlPr>
                    <w:rPr>
                      <w:rFonts w:hint="eastAsia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sub>
              </m:sSub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}, 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p</m:t>
              </m: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ij</m:t>
              </m: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=(lo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n</m:t>
              </m: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ij</m:t>
              </m: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,la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t</m:t>
              </m: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ij</m:t>
              </m: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)</m:t>
          </m:r>
        </m:oMath>
      </m:oMathPara>
    </w:p>
    <w:p w14:paraId="304B4D0A">
      <w:pPr>
        <w:adjustRightInd w:val="0"/>
        <w:snapToGrid w:val="0"/>
        <w:spacing w:line="360" w:lineRule="auto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m:oMathPara>
        <m:oMath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m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=max(2,⌊r⋅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n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⌋), </m:t>
          </m:r>
          <m:sSubSup>
            <m:sSubSup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Sup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P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  <m:sup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(r)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p>
          </m:sSubSup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={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p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i1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,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p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i2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,…,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p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</m:t>
              </m:r>
              <m:sSub>
                <m:sSubP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m</m:t>
                  </m:r>
                  <m:ctrlPr>
                    <w:rPr>
                      <w:rFonts w:hint="eastAsia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i</m:t>
                  </m:r>
                  <m:ctrlPr>
                    <w:rPr>
                      <w:rFonts w:hint="eastAsia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sub>
              </m:sSub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}, 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y</m:t>
              </m: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</m:t>
              </m: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=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p</m:t>
              </m: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</m:t>
              </m:r>
              <m:sSub>
                <m:sSubP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n</m:t>
                  </m:r>
                  <m:ctrlPr>
                    <w:rPr>
                      <w:rFonts w:hint="eastAsia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i</m:t>
                  </m:r>
                  <m:ctrlPr>
                    <w:rPr>
                      <w:rFonts w:hint="eastAsia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sub>
              </m:sSub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</m:oMath>
      </m:oMathPara>
    </w:p>
    <w:p w14:paraId="2362D80A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其中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</w:t>
      </w:r>
      <m:oMath>
        <m:r>
          <m:rPr>
            <m:sty m:val="p"/>
          </m:rPr>
          <w:rPr>
            <w:rFonts w:hint="default" w:ascii="Times New Roman" w:hAnsi="Times New Roman" w:eastAsia="宋体" w:cs="Times New Roman"/>
            <w:sz w:val="24"/>
            <w:szCs w:val="24"/>
            <w:lang w:val="en-US" w:eastAsia="zh-CN"/>
          </w:rPr>
          <m:t>r</m:t>
        </m:r>
      </m:oMath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分别取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0.2、0.4 和 0.6，对应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20%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、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40%、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60%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三种前缀长度。这样可以模拟出租车行程在不同阶段进行终点预测的场景。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20%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前缀表示早期预测，已知轨迹较少；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60%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前缀表示车辆已经行驶较长距离，目的地信息更明显。</w:t>
      </w:r>
    </w:p>
    <w:p w14:paraId="75E23A48">
      <w:pPr>
        <w:pStyle w:val="4"/>
        <w:snapToGrid w:val="0"/>
        <w:spacing w:before="93" w:beforeLines="30" w:after="0" w:line="360" w:lineRule="auto"/>
        <w:rPr>
          <w:rFonts w:hint="eastAsia"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</w:rPr>
        <w:t>2.2.2 特征提取</w:t>
      </w:r>
    </w:p>
    <w:p w14:paraId="7BAAE08C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程序从前缀轨迹 </w:t>
      </w:r>
      <m:oMath>
        <m:sSubSup>
          <m:sSubSupPr>
            <m:ctrl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</m:ctrlPr>
          </m:sSubSupPr>
          <m:e>
            <m:r>
              <m:rPr>
                <m:sty m:val="p"/>
              </m:r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  <m:t>P</m:t>
            </m:r>
            <m:ctrlPr>
              <w:rPr>
                <w:rFonts w:hint="eastAsia" w:ascii="Cambria Math" w:hAnsi="Cambria Math" w:eastAsia="宋体" w:cs="宋体"/>
                <w:sz w:val="24"/>
                <w:szCs w:val="24"/>
                <w:lang w:val="en-US" w:eastAsia="zh-CN"/>
              </w:rPr>
            </m:ctrlPr>
          </m:e>
          <m:sub>
            <m:r>
              <m:rPr>
                <m:sty m:val="p"/>
              </m:r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  <m:t>i</m:t>
            </m:r>
            <m:ctrlPr>
              <w:rPr>
                <w:rFonts w:hint="eastAsia" w:ascii="Cambria Math" w:hAnsi="Cambria Math" w:eastAsia="宋体" w:cs="宋体"/>
                <w:sz w:val="24"/>
                <w:szCs w:val="24"/>
                <w:lang w:val="en-US" w:eastAsia="zh-CN"/>
              </w:rPr>
            </m:ctrlPr>
          </m:sub>
          <m:sup>
            <m:r>
              <m:rPr>
                <m:sty m:val="p"/>
              </m:r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  <m:t>(r)</m:t>
            </m:r>
            <m:ctrlPr>
              <w:rPr>
                <w:rFonts w:hint="eastAsia" w:ascii="Cambria Math" w:hAnsi="Cambria Math" w:eastAsia="宋体" w:cs="宋体"/>
                <w:sz w:val="24"/>
                <w:szCs w:val="24"/>
                <w:lang w:val="en-US" w:eastAsia="zh-CN"/>
              </w:rPr>
            </m:ctrlPr>
          </m:sup>
        </m:sSubSup>
      </m:oMath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中提取特征，形成模型输入向量 </w:t>
      </w:r>
      <m:oMath>
        <m:sSub>
          <m:sSubPr>
            <m:ctrl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</m:ctrlPr>
          </m:sSubPr>
          <m:e>
            <m:r>
              <m:rPr>
                <m:sty m:val="p"/>
              </m:r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  <m:t>x</m:t>
            </m:r>
            <m:ctrlPr>
              <w:rPr>
                <w:rFonts w:hint="eastAsia" w:ascii="Cambria Math" w:hAnsi="Cambria Math" w:eastAsia="宋体" w:cs="宋体"/>
                <w:sz w:val="24"/>
                <w:szCs w:val="24"/>
                <w:lang w:val="en-US" w:eastAsia="zh-CN"/>
              </w:rPr>
            </m:ctrlPr>
          </m:e>
          <m:sub>
            <m:r>
              <m:rPr>
                <m:sty m:val="p"/>
              </m:r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  <m:t>i</m:t>
            </m:r>
            <m:ctrlPr>
              <w:rPr>
                <w:rFonts w:hint="eastAsia" w:ascii="Cambria Math" w:hAnsi="Cambria Math" w:eastAsia="宋体" w:cs="宋体"/>
                <w:sz w:val="24"/>
                <w:szCs w:val="24"/>
                <w:lang w:val="en-US" w:eastAsia="zh-CN"/>
              </w:rPr>
            </m:ctrlPr>
          </m:sub>
        </m:sSub>
      </m:oMath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。特征包括起点、当前点、轨迹采样点、出发时间、星期、前缀距离、平均速度、方向角、弯曲度和分段距离等。</w:t>
      </w:r>
    </w:p>
    <w:p w14:paraId="0BCF713F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m:oMathPara>
        <m:oMath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x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=f(</m:t>
          </m:r>
          <m:sSubSup>
            <m:sSubSup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Sup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P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  <m:sup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(r)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p>
          </m:sSubSup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)</m:t>
          </m:r>
        </m:oMath>
      </m:oMathPara>
    </w:p>
    <w:p w14:paraId="377612D0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其中，</w:t>
      </w:r>
      <m:oMath>
        <m:r>
          <m:rPr>
            <m:sty m:val="p"/>
          </m:rPr>
          <w:rPr>
            <w:rFonts w:hint="default" w:ascii="Cambria Math" w:hAnsi="Cambria Math" w:eastAsia="宋体" w:cs="宋体"/>
            <w:sz w:val="24"/>
            <w:szCs w:val="24"/>
            <w:lang w:val="en-US" w:eastAsia="zh-CN"/>
          </w:rPr>
          <m:t>f(⋅)</m:t>
        </m:r>
      </m:oMath>
      <w:r>
        <m:rPr/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表示特征提取过程。特征设计主要覆盖四类信息：位置、时间、方向和前缀运动状态。这样做是为了避免模型只依赖当前点，而是同时利用车辆已经行驶过的路径信息。</w:t>
      </w:r>
    </w:p>
    <w:p w14:paraId="3DDB2356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</w:rPr>
      </w:pPr>
      <w:r>
        <w:rPr>
          <w:rStyle w:val="16"/>
          <w:rFonts w:hint="eastAsia" w:ascii="Times New Roman" w:hAnsi="Times New Roman" w:eastAsia="宋体" w:cs="Times New Roman"/>
          <w:b/>
          <w:bCs/>
        </w:rPr>
        <w:t>表 2-</w:t>
      </w:r>
      <w:r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  <w:t>7</w:t>
      </w:r>
      <w:r>
        <w:rPr>
          <w:rStyle w:val="16"/>
          <w:rFonts w:hint="eastAsia" w:ascii="Times New Roman" w:hAnsi="Times New Roman" w:eastAsia="宋体" w:cs="Times New Roman"/>
          <w:b/>
          <w:bCs/>
        </w:rPr>
        <w:t xml:space="preserve"> 主要输入特征</w:t>
      </w:r>
    </w:p>
    <w:tbl>
      <w:tblPr>
        <w:tblStyle w:val="14"/>
        <w:tblW w:w="8522" w:type="dxa"/>
        <w:jc w:val="center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641"/>
        <w:gridCol w:w="3797"/>
        <w:gridCol w:w="3084"/>
      </w:tblGrid>
      <w:tr w14:paraId="077189E5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641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DF7F2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特征类别</w:t>
            </w:r>
          </w:p>
        </w:tc>
        <w:tc>
          <w:tcPr>
            <w:tcW w:w="3797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A257EE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代表特征</w:t>
            </w:r>
          </w:p>
        </w:tc>
        <w:tc>
          <w:tcPr>
            <w:tcW w:w="3084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D897BC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含义</w:t>
            </w:r>
          </w:p>
        </w:tc>
      </w:tr>
      <w:tr w14:paraId="693B3FD7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4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39239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位置特征</w:t>
            </w:r>
          </w:p>
        </w:tc>
        <w:tc>
          <w:tcPr>
            <w:tcW w:w="379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7C2858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起点、当前点、轨迹采样点</w:t>
            </w:r>
          </w:p>
        </w:tc>
        <w:tc>
          <w:tcPr>
            <w:tcW w:w="308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3DF1E7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描述车辆已行驶到的位置</w:t>
            </w:r>
          </w:p>
        </w:tc>
      </w:tr>
      <w:tr w14:paraId="5F969A48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ADFCBC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时间特征</w:t>
            </w:r>
          </w:p>
        </w:tc>
        <w:tc>
          <w:tcPr>
            <w:tcW w:w="3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C8260E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小时、星期、是否周末</w:t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2BE3D8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描述出行时间背景</w:t>
            </w:r>
          </w:p>
        </w:tc>
      </w:tr>
      <w:tr w14:paraId="0659AC2C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7A24B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距离与速度</w:t>
            </w:r>
          </w:p>
        </w:tc>
        <w:tc>
          <w:tcPr>
            <w:tcW w:w="3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8653E5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前缀距离、直线距离、平均速度</w:t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66ED50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描述车辆运动状态</w:t>
            </w:r>
          </w:p>
        </w:tc>
      </w:tr>
      <w:tr w14:paraId="0C6F0C2B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AD150B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方向与形态</w:t>
            </w:r>
          </w:p>
        </w:tc>
        <w:tc>
          <w:tcPr>
            <w:tcW w:w="3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DE806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方向角、方向变化、弯曲度</w:t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4328CB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描述轨迹走势</w:t>
            </w:r>
          </w:p>
        </w:tc>
      </w:tr>
      <w:tr w14:paraId="6F987A04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64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EAF48E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分段特征</w:t>
            </w:r>
          </w:p>
        </w:tc>
        <w:tc>
          <w:tcPr>
            <w:tcW w:w="3797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CFCD45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四段轨迹距离</w:t>
            </w:r>
          </w:p>
        </w:tc>
        <w:tc>
          <w:tcPr>
            <w:tcW w:w="308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A9030A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描述前缀不同阶段的变化</w:t>
            </w:r>
          </w:p>
        </w:tc>
      </w:tr>
    </w:tbl>
    <w:p w14:paraId="2D23B0A1">
      <w:pPr>
        <w:pStyle w:val="4"/>
        <w:snapToGrid w:val="0"/>
        <w:spacing w:before="93" w:beforeLines="30" w:after="0" w:line="360" w:lineRule="auto"/>
        <w:rPr>
          <w:rFonts w:hint="eastAsia" w:ascii="Times New Roman" w:hAnsi="Times New Roman" w:eastAsia="黑体" w:cs="Times New Roman"/>
          <w:sz w:val="24"/>
          <w:szCs w:val="24"/>
        </w:rPr>
      </w:pPr>
    </w:p>
    <w:p w14:paraId="2F554A45">
      <w:pPr>
        <w:pStyle w:val="4"/>
        <w:snapToGrid w:val="0"/>
        <w:spacing w:before="93" w:beforeLines="30" w:after="0" w:line="360" w:lineRule="auto"/>
        <w:rPr>
          <w:rFonts w:hint="eastAsia"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</w:rPr>
        <w:t>2.2.3 终点聚类</w:t>
      </w:r>
    </w:p>
    <w:p w14:paraId="0C7960CE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数据分析发现，出租车终点在空间上具有聚集特征。因此，最终模型没有直接在整个城市范围内回归终点，而是先将训练集终点划分为若干目的地区域。程序使用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KMeans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对训练集真实终点进行聚类，聚类数量设为 </w:t>
      </w:r>
      <m:oMath>
        <m:r>
          <m:rPr>
            <m:sty m:val="p"/>
          </m:rPr>
          <w:rPr>
            <w:rFonts w:hint="default" w:ascii="Cambria Math" w:hAnsi="Cambria Math" w:eastAsia="宋体" w:cs="宋体"/>
            <w:sz w:val="24"/>
            <w:szCs w:val="24"/>
            <w:lang w:val="en-US" w:eastAsia="zh-CN"/>
          </w:rPr>
          <m:t>K=50</m:t>
        </m:r>
      </m:oMath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43D8C563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m:oMathPara>
        <m:oMath>
          <m:func>
            <m:func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funcPr>
            <m:fName>
              <m:limLow>
                <m:limLowP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min</m:t>
                  </m:r>
                  <m:ctrlPr>
                    <w:rPr>
                      <w:rFonts w:hint="eastAsia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e>
                <m:lim>
                  <m:sSub>
                    <m:sSubPr>
                      <m:ctrlPr>
                        <w:rPr>
                          <w:rFonts w:hint="default" w:ascii="Cambria Math" w:hAnsi="Cambria Math" w:eastAsia="宋体" w:cs="宋体"/>
                          <w:sz w:val="24"/>
                          <w:szCs w:val="24"/>
                          <w:lang w:val="en-US" w:eastAsia="zh-C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hint="default" w:ascii="Cambria Math" w:hAnsi="Cambria Math" w:eastAsia="宋体" w:cs="宋体"/>
                          <w:sz w:val="24"/>
                          <w:szCs w:val="24"/>
                          <w:lang w:val="en-US" w:eastAsia="zh-CN"/>
                        </w:rPr>
                        <m:t>μ</m:t>
                      </m:r>
                      <m:ctrlPr>
                        <w:rPr>
                          <w:rFonts w:hint="eastAsia" w:ascii="Cambria Math" w:hAnsi="Cambria Math" w:eastAsia="宋体" w:cs="宋体"/>
                          <w:sz w:val="24"/>
                          <w:szCs w:val="24"/>
                          <w:lang w:val="en-US" w:eastAsia="zh-CN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hint="default" w:ascii="Cambria Math" w:hAnsi="Cambria Math" w:eastAsia="宋体" w:cs="宋体"/>
                          <w:sz w:val="24"/>
                          <w:szCs w:val="24"/>
                          <w:lang w:val="en-US" w:eastAsia="zh-CN"/>
                        </w:rPr>
                        <m:t>1</m:t>
                      </m:r>
                      <m:ctrlPr>
                        <w:rPr>
                          <w:rFonts w:hint="eastAsia" w:ascii="Cambria Math" w:hAnsi="Cambria Math" w:eastAsia="宋体" w:cs="宋体"/>
                          <w:sz w:val="24"/>
                          <w:szCs w:val="24"/>
                          <w:lang w:val="en-US" w:eastAsia="zh-CN"/>
                        </w:rPr>
                      </m:ctrlPr>
                    </m:sub>
                  </m:sSub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,…,</m:t>
                  </m:r>
                  <m:sSub>
                    <m:sSubPr>
                      <m:ctrlPr>
                        <w:rPr>
                          <w:rFonts w:hint="default" w:ascii="Cambria Math" w:hAnsi="Cambria Math" w:eastAsia="宋体" w:cs="宋体"/>
                          <w:sz w:val="24"/>
                          <w:szCs w:val="24"/>
                          <w:lang w:val="en-US" w:eastAsia="zh-C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hint="default" w:ascii="Cambria Math" w:hAnsi="Cambria Math" w:eastAsia="宋体" w:cs="宋体"/>
                          <w:sz w:val="24"/>
                          <w:szCs w:val="24"/>
                          <w:lang w:val="en-US" w:eastAsia="zh-CN"/>
                        </w:rPr>
                        <m:t>μ</m:t>
                      </m:r>
                      <m:ctrlPr>
                        <w:rPr>
                          <w:rFonts w:hint="eastAsia" w:ascii="Cambria Math" w:hAnsi="Cambria Math" w:eastAsia="宋体" w:cs="宋体"/>
                          <w:sz w:val="24"/>
                          <w:szCs w:val="24"/>
                          <w:lang w:val="en-US" w:eastAsia="zh-CN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hint="default" w:ascii="Cambria Math" w:hAnsi="Cambria Math" w:eastAsia="宋体" w:cs="宋体"/>
                          <w:sz w:val="24"/>
                          <w:szCs w:val="24"/>
                          <w:lang w:val="en-US" w:eastAsia="zh-CN"/>
                        </w:rPr>
                        <m:t>K</m:t>
                      </m:r>
                      <m:ctrlPr>
                        <w:rPr>
                          <w:rFonts w:hint="eastAsia" w:ascii="Cambria Math" w:hAnsi="Cambria Math" w:eastAsia="宋体" w:cs="宋体"/>
                          <w:sz w:val="24"/>
                          <w:szCs w:val="24"/>
                          <w:lang w:val="en-US" w:eastAsia="zh-CN"/>
                        </w:rPr>
                      </m:ctrlPr>
                    </m:sub>
                  </m:sSub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lim>
              </m:limLow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fName>
            <m:e>
              <m:nary>
                <m:naryPr>
                  <m:chr m:val="∑"/>
                  <m:limLoc m:val="subSup"/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i=1</m:t>
                  </m: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sub>
                <m:sup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N</m:t>
                  </m: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sup>
                <m:e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‖</m:t>
                  </m: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e>
              </m:nary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</m:func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y</m:t>
              </m: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</m:t>
              </m: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−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μ</m:t>
              </m: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sSub>
                <m:sSubP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c</m:t>
                  </m: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i</m:t>
                  </m: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sub>
              </m:sSub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sSup>
            <m:sSup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p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‖</m:t>
              </m: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p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2</m:t>
              </m: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p>
          </m:sSup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,K=50</m:t>
          </m:r>
        </m:oMath>
      </m:oMathPara>
    </w:p>
    <w:p w14:paraId="32CC03A1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其中，</w:t>
      </w:r>
      <m:oMath>
        <m:sSub>
          <m:sSubPr>
            <m:ctrl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</m:ctrlPr>
          </m:sSubPr>
          <m:e>
            <m:r>
              <m:rPr>
                <m:sty m:val="p"/>
              </m:r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  <m:t>μ</m:t>
            </m:r>
            <m:ctrlPr>
              <w:rPr>
                <w:rFonts w:hint="eastAsia" w:ascii="Cambria Math" w:hAnsi="Cambria Math" w:eastAsia="宋体" w:cs="宋体"/>
                <w:sz w:val="24"/>
                <w:szCs w:val="24"/>
                <w:lang w:val="en-US" w:eastAsia="zh-CN"/>
              </w:rPr>
            </m:ctrlPr>
          </m:e>
          <m:sub>
            <m:r>
              <m:rPr>
                <m:sty m:val="p"/>
              </m:r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  <m:t>k</m:t>
            </m:r>
            <m:ctrlPr>
              <w:rPr>
                <w:rFonts w:hint="eastAsia" w:ascii="Cambria Math" w:hAnsi="Cambria Math" w:eastAsia="宋体" w:cs="宋体"/>
                <w:sz w:val="24"/>
                <w:szCs w:val="24"/>
                <w:lang w:val="en-US" w:eastAsia="zh-CN"/>
              </w:rPr>
            </m:ctrlPr>
          </m:sub>
        </m:sSub>
      </m:oMath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表示第 </w:t>
      </w:r>
      <m:oMath>
        <m:r>
          <m:rPr>
            <m:sty m:val="p"/>
          </m:rPr>
          <w:rPr>
            <w:rFonts w:hint="default" w:ascii="Cambria Math" w:hAnsi="Cambria Math" w:eastAsia="宋体" w:cs="宋体"/>
            <w:sz w:val="24"/>
            <w:szCs w:val="24"/>
            <w:lang w:val="en-US" w:eastAsia="zh-CN"/>
          </w:rPr>
          <m:t>k</m:t>
        </m:r>
      </m:oMath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个终点聚类中心，</w:t>
      </w:r>
      <m:oMath>
        <m:sSub>
          <m:sSubPr>
            <m:ctrl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</m:ctrlPr>
          </m:sSubPr>
          <m:e>
            <m:r>
              <m:rPr>
                <m:sty m:val="p"/>
              </m:r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  <m:t>c</m:t>
            </m:r>
            <m:ctrlPr>
              <w:rPr>
                <w:rFonts w:hint="eastAsia" w:ascii="Cambria Math" w:hAnsi="Cambria Math" w:eastAsia="宋体" w:cs="宋体"/>
                <w:sz w:val="24"/>
                <w:szCs w:val="24"/>
                <w:lang w:val="en-US" w:eastAsia="zh-CN"/>
              </w:rPr>
            </m:ctrlPr>
          </m:e>
          <m:sub>
            <m:r>
              <m:rPr>
                <m:sty m:val="p"/>
              </m:r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  <m:t>i</m:t>
            </m:r>
            <m:ctrlPr>
              <w:rPr>
                <w:rFonts w:hint="eastAsia" w:ascii="Cambria Math" w:hAnsi="Cambria Math" w:eastAsia="宋体" w:cs="宋体"/>
                <w:sz w:val="24"/>
                <w:szCs w:val="24"/>
                <w:lang w:val="en-US" w:eastAsia="zh-CN"/>
              </w:rPr>
            </m:ctrlPr>
          </m:sub>
        </m:sSub>
      </m:oMath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表示第 </w:t>
      </w:r>
      <m:oMath>
        <m:r>
          <m:rPr>
            <m:sty m:val="p"/>
          </m:rPr>
          <w:rPr>
            <w:rFonts w:hint="default" w:ascii="Cambria Math" w:hAnsi="Cambria Math" w:eastAsia="宋体" w:cs="宋体"/>
            <w:sz w:val="24"/>
            <w:szCs w:val="24"/>
            <w:lang w:val="en-US" w:eastAsia="zh-CN"/>
          </w:rPr>
          <m:t>i</m:t>
        </m:r>
      </m:oMath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条轨迹终点所属的聚类编号。聚类后，终点预测任务可以先转化为目的地区域预测，再进一步预测区域内部的具体坐标。</w:t>
      </w:r>
    </w:p>
    <w:p w14:paraId="0836F5F3">
      <w:pPr>
        <w:pStyle w:val="4"/>
        <w:snapToGrid w:val="0"/>
        <w:spacing w:before="93" w:beforeLines="30" w:after="0" w:line="360" w:lineRule="auto"/>
        <w:rPr>
          <w:rFonts w:hint="eastAsia"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</w:rPr>
        <w:t>2.2.4 Top-30 候选聚类与类内偏移回归</w:t>
      </w:r>
    </w:p>
    <w:p w14:paraId="31C5601C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得到终点聚类标签后，程序使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用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XGBoostDeep 分类器，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根据前缀特征 </w:t>
      </w:r>
      <m:oMath>
        <m:sSub>
          <m:sSubPr>
            <m:ctrl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</m:ctrlPr>
          </m:sSubPr>
          <m:e>
            <m:r>
              <m:rPr>
                <m:sty m:val="p"/>
              </m:r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  <m:t>x</m:t>
            </m:r>
            <m:ctrlPr>
              <w:rPr>
                <w:rFonts w:hint="eastAsia" w:ascii="Cambria Math" w:hAnsi="Cambria Math" w:eastAsia="宋体" w:cs="宋体"/>
                <w:sz w:val="24"/>
                <w:szCs w:val="24"/>
                <w:lang w:val="en-US" w:eastAsia="zh-CN"/>
              </w:rPr>
            </m:ctrlPr>
          </m:e>
          <m:sub>
            <m:r>
              <m:rPr>
                <m:sty m:val="p"/>
              </m:r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  <m:t>i</m:t>
            </m:r>
            <m:ctrlPr>
              <w:rPr>
                <w:rFonts w:hint="eastAsia" w:ascii="Cambria Math" w:hAnsi="Cambria Math" w:eastAsia="宋体" w:cs="宋体"/>
                <w:sz w:val="24"/>
                <w:szCs w:val="24"/>
                <w:lang w:val="en-US" w:eastAsia="zh-CN"/>
              </w:rPr>
            </m:ctrlPr>
          </m:sub>
        </m:sSub>
      </m:oMath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预测该轨迹属于每个终点聚类的概率。之后，选取概率最高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的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Top-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30 个聚类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作为候选目的地区域。</w:t>
      </w:r>
    </w:p>
    <w:p w14:paraId="15876E99">
      <w:pPr>
        <w:adjustRightInd w:val="0"/>
        <w:snapToGrid w:val="0"/>
        <w:spacing w:line="360" w:lineRule="auto"/>
        <w:ind w:firstLine="480" w:firstLineChars="200"/>
        <m:rPr/>
        <w:rPr>
          <w:rFonts w:hint="default" w:ascii="宋体" w:hAnsi="宋体" w:eastAsia="宋体" w:cs="宋体"/>
          <w:sz w:val="24"/>
          <w:szCs w:val="24"/>
          <w:lang w:val="en-US" w:eastAsia="zh-CN"/>
        </w:rPr>
      </w:pPr>
      <m:oMathPara>
        <m:oMath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π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ik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=P(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c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=k∣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x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),</m:t>
          </m:r>
          <m:sSubSup>
            <m:sSubSup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Sup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S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  <m:sup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30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p>
          </m:sSubSup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=Top30(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π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i1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,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π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i2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,…,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π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iK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)</m:t>
          </m:r>
        </m:oMath>
      </m:oMathPara>
    </w:p>
    <w:p w14:paraId="2208C396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只选择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Top-1 聚类容易受到分类错误影响。特别是在 20% 前缀下，车辆目的地仍然不够明确，保留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Top-30 候选区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域可以减少单一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分类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错误带来的偏差。</w:t>
      </w:r>
    </w:p>
    <w:p w14:paraId="37721683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对于每个候选聚类中心 </w:t>
      </w:r>
      <m:oMathPara>
        <m:oMath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μ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k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</m:oMath>
      </m:oMathPara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，程序将前缀特征和聚类中心拼接，输入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XGBoostDeep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回归器，预测终点相对聚类中心的偏移量。</w:t>
      </w:r>
    </w:p>
    <w:p w14:paraId="17B58C66">
      <w:pPr>
        <w:adjustRightInd w:val="0"/>
        <w:snapToGrid w:val="0"/>
        <w:spacing w:line="360" w:lineRule="auto"/>
        <w:ind w:firstLine="480" w:firstLineChars="200"/>
        <m:rPr/>
        <w:rPr>
          <w:rFonts w:hint="default" w:ascii="宋体" w:hAnsi="宋体" w:eastAsia="宋体" w:cs="宋体"/>
          <w:sz w:val="24"/>
          <w:szCs w:val="24"/>
          <w:lang w:val="en-US" w:eastAsia="zh-CN"/>
        </w:rPr>
      </w:pPr>
      <m:oMathPara>
        <m:oMath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z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ik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=[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x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,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μ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k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], 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Δ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ik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=g(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z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ik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), 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acc>
                <m:accP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y</m:t>
                  </m:r>
                  <m:ctrlPr>
                    <w:rPr>
                      <w:rFonts w:hint="eastAsia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e>
              </m:acc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ik</m:t>
              </m: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=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μ</m:t>
              </m: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k</m:t>
              </m: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+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Δ</m:t>
              </m: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ik</m:t>
              </m: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 xml:space="preserve"> </m:t>
          </m:r>
        </m:oMath>
      </m:oMathPara>
    </w:p>
    <w:p w14:paraId="287D9720">
      <w:pPr>
        <w:adjustRightInd w:val="0"/>
        <w:snapToGrid w:val="0"/>
        <w:spacing w:line="360" w:lineRule="auto"/>
        <w:ind w:firstLine="480" w:firstLineChars="200"/>
        <m:rPr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其中，</w:t>
      </w:r>
      <m:oMath>
        <m:sSub>
          <m:sSubPr>
            <m:ctrl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</m:ctrlPr>
          </m:sSubPr>
          <m:e>
            <m:r>
              <m:rPr>
                <m:sty m:val="p"/>
              </m:r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  <m:t>z</m:t>
            </m:r>
            <m:ctrlPr>
              <w:rPr>
                <w:rFonts w:hint="eastAsia" w:ascii="Cambria Math" w:hAnsi="Cambria Math" w:eastAsia="宋体" w:cs="宋体"/>
                <w:sz w:val="24"/>
                <w:szCs w:val="24"/>
                <w:lang w:val="en-US" w:eastAsia="zh-CN"/>
              </w:rPr>
            </m:ctrlPr>
          </m:e>
          <m:sub>
            <m:r>
              <m:rPr>
                <m:sty m:val="p"/>
              </m:r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  <m:t>ik</m:t>
            </m:r>
            <m:ctrlPr>
              <w:rPr>
                <w:rFonts w:hint="eastAsia" w:ascii="Cambria Math" w:hAnsi="Cambria Math" w:eastAsia="宋体" w:cs="宋体"/>
                <w:sz w:val="24"/>
                <w:szCs w:val="24"/>
                <w:lang w:val="en-US" w:eastAsia="zh-CN"/>
              </w:rPr>
            </m:ctrlPr>
          </m:sub>
        </m:sSub>
      </m:oMath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是候选聚类下的回归输入，</w:t>
      </w:r>
      <m:oMath>
        <m:r>
          <m:rPr>
            <m:sty m:val="p"/>
          </m:rPr>
          <w:rPr>
            <w:rFonts w:hint="default" w:ascii="Cambria Math" w:hAnsi="Cambria Math" w:eastAsia="宋体" w:cs="宋体"/>
            <w:sz w:val="24"/>
            <w:szCs w:val="24"/>
            <w:lang w:val="en-US" w:eastAsia="zh-CN"/>
          </w:rPr>
          <m:t>g(⋅)</m:t>
        </m:r>
      </m:oMath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表示类内偏移回归模型，</w:t>
      </w:r>
      <m:oMath>
        <m:sSub>
          <m:sSubPr>
            <m:ctrl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</m:ctrlPr>
          </m:sSubPr>
          <m:e>
            <m:acc>
              <m:accPr>
                <m:ctrlPr>
                  <w:rPr>
                    <w:rFonts w:hint="default" w:ascii="Cambria Math" w:hAnsi="Cambria Math" w:eastAsia="宋体" w:cs="宋体"/>
                    <w:sz w:val="24"/>
                    <w:szCs w:val="24"/>
                    <w:lang w:val="en-US" w:eastAsia="zh-CN"/>
                  </w:rPr>
                </m:ctrlPr>
              </m:accPr>
              <m:e>
                <m:r>
                  <m:rPr>
                    <m:sty m:val="p"/>
                  </m:rPr>
                  <w:rPr>
                    <w:rFonts w:hint="default" w:ascii="Cambria Math" w:hAnsi="Cambria Math" w:eastAsia="宋体" w:cs="宋体"/>
                    <w:sz w:val="24"/>
                    <w:szCs w:val="24"/>
                    <w:lang w:val="en-US" w:eastAsia="zh-CN"/>
                  </w:rPr>
                  <m:t>y</m:t>
                </m:r>
                <m:ctrlPr>
                  <w:rPr>
                    <w:rFonts w:hint="eastAsia" w:ascii="Cambria Math" w:hAnsi="Cambria Math" w:eastAsia="宋体" w:cs="宋体"/>
                    <w:sz w:val="24"/>
                    <w:szCs w:val="24"/>
                    <w:lang w:val="en-US" w:eastAsia="zh-CN"/>
                  </w:rPr>
                </m:ctrlPr>
              </m:e>
            </m:acc>
            <m:ctrl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</m:ctrlPr>
          </m:e>
          <m:sub>
            <m:r>
              <m:rPr>
                <m:sty m:val="p"/>
              </m:r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  <m:t>ik</m:t>
            </m:r>
            <m:ctrl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</m:ctrlPr>
          </m:sub>
        </m:sSub>
      </m:oMath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表示第 </w:t>
      </w:r>
      <m:oMath>
        <m:r>
          <m:rPr>
            <m:sty m:val="p"/>
          </m:rPr>
          <w:rPr>
            <w:rFonts w:hint="default" w:ascii="Cambria Math" w:hAnsi="Cambria Math" w:eastAsia="宋体" w:cs="宋体"/>
            <w:sz w:val="24"/>
            <w:szCs w:val="24"/>
            <w:lang w:val="en-US" w:eastAsia="zh-CN"/>
          </w:rPr>
          <m:t>k</m:t>
        </m:r>
      </m:oMath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个候选区域给出的候选终点。这个步骤使模型不只是输出聚类中心，而是能进一步预测区域内部的具体位置。</w:t>
      </w:r>
    </w:p>
    <w:p w14:paraId="1CB34812">
      <w:pPr>
        <w:pStyle w:val="4"/>
        <w:snapToGrid w:val="0"/>
        <w:spacing w:before="93" w:beforeLines="30" w:after="0" w:line="360" w:lineRule="auto"/>
        <w:rPr>
          <w:rFonts w:hint="eastAsia"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</w:rPr>
        <w:t>2.2.5 概率加权融合</w:t>
      </w:r>
    </w:p>
    <w:p w14:paraId="4F3627E3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每个测试样本会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得到 30 个候选终点。程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序根据分类器输出的聚类概率，对这些候选终点进行加权融合，得到最终预测终点。</w:t>
      </w:r>
    </w:p>
    <w:p w14:paraId="723D94FE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m:oMathPara>
        <m:oMath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w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ik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=</m:t>
          </m:r>
          <m:f>
            <m:f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fPr>
            <m:num>
              <m:sSub>
                <m:sSubP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π</m:t>
                  </m:r>
                  <m:ctrlPr>
                    <w:rPr>
                      <w:rFonts w:hint="eastAsia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ik</m:t>
                  </m:r>
                  <m:ctrlPr>
                    <w:rPr>
                      <w:rFonts w:hint="eastAsia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sub>
              </m:sSub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num>
            <m:den>
              <m:nary>
                <m:naryPr>
                  <m:chr m:val="∑"/>
                  <m:limLoc m:val="subSup"/>
                  <m:supHide m:val="1"/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j∈</m:t>
                  </m:r>
                  <m:sSubSup>
                    <m:sSubSupPr>
                      <m:ctrlPr>
                        <w:rPr>
                          <w:rFonts w:hint="default" w:ascii="Cambria Math" w:hAnsi="Cambria Math" w:eastAsia="宋体" w:cs="宋体"/>
                          <w:sz w:val="24"/>
                          <w:szCs w:val="24"/>
                          <w:lang w:val="en-US" w:eastAsia="zh-CN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hint="default" w:ascii="Cambria Math" w:hAnsi="Cambria Math" w:eastAsia="宋体" w:cs="宋体"/>
                          <w:sz w:val="24"/>
                          <w:szCs w:val="24"/>
                          <w:lang w:val="en-US" w:eastAsia="zh-CN"/>
                        </w:rPr>
                        <m:t>S</m:t>
                      </m:r>
                      <m:ctrlPr>
                        <w:rPr>
                          <w:rFonts w:hint="eastAsia" w:ascii="Cambria Math" w:hAnsi="Cambria Math" w:eastAsia="宋体" w:cs="宋体"/>
                          <w:sz w:val="24"/>
                          <w:szCs w:val="24"/>
                          <w:lang w:val="en-US" w:eastAsia="zh-CN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hint="default" w:ascii="Cambria Math" w:hAnsi="Cambria Math" w:eastAsia="宋体" w:cs="宋体"/>
                          <w:sz w:val="24"/>
                          <w:szCs w:val="24"/>
                          <w:lang w:val="en-US" w:eastAsia="zh-CN"/>
                        </w:rPr>
                        <m:t>i</m:t>
                      </m:r>
                      <m:ctrlPr>
                        <w:rPr>
                          <w:rFonts w:hint="eastAsia" w:ascii="Cambria Math" w:hAnsi="Cambria Math" w:eastAsia="宋体" w:cs="宋体"/>
                          <w:sz w:val="24"/>
                          <w:szCs w:val="24"/>
                          <w:lang w:val="en-US" w:eastAsia="zh-CN"/>
                        </w:rPr>
                      </m:ctrlPr>
                    </m:sub>
                    <m:sup>
                      <m:r>
                        <m:rPr>
                          <m:sty m:val="p"/>
                        </m:rPr>
                        <w:rPr>
                          <w:rFonts w:hint="default" w:ascii="Cambria Math" w:hAnsi="Cambria Math" w:eastAsia="宋体" w:cs="宋体"/>
                          <w:sz w:val="24"/>
                          <w:szCs w:val="24"/>
                          <w:lang w:val="en-US" w:eastAsia="zh-CN"/>
                        </w:rPr>
                        <m:t>30</m:t>
                      </m:r>
                      <m:ctrlPr>
                        <w:rPr>
                          <w:rFonts w:hint="eastAsia" w:ascii="Cambria Math" w:hAnsi="Cambria Math" w:eastAsia="宋体" w:cs="宋体"/>
                          <w:sz w:val="24"/>
                          <w:szCs w:val="24"/>
                          <w:lang w:val="en-US" w:eastAsia="zh-CN"/>
                        </w:rPr>
                      </m:ctrlPr>
                    </m:sup>
                  </m:sSubSup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sub>
                <m:sup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sup>
                <m:e>
                  <m:sSub>
                    <m:sSubPr>
                      <m:ctrlPr>
                        <w:rPr>
                          <w:rFonts w:hint="default" w:ascii="Cambria Math" w:hAnsi="Cambria Math" w:eastAsia="宋体" w:cs="宋体"/>
                          <w:sz w:val="24"/>
                          <w:szCs w:val="24"/>
                          <w:lang w:val="en-US" w:eastAsia="zh-C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hint="default" w:ascii="Cambria Math" w:hAnsi="Cambria Math" w:eastAsia="宋体" w:cs="宋体"/>
                          <w:sz w:val="24"/>
                          <w:szCs w:val="24"/>
                          <w:lang w:val="en-US" w:eastAsia="zh-CN"/>
                        </w:rPr>
                        <m:t>π</m:t>
                      </m:r>
                      <m:ctrlPr>
                        <w:rPr>
                          <w:rFonts w:hint="eastAsia" w:ascii="Cambria Math" w:hAnsi="Cambria Math" w:eastAsia="宋体" w:cs="宋体"/>
                          <w:sz w:val="24"/>
                          <w:szCs w:val="24"/>
                          <w:lang w:val="en-US" w:eastAsia="zh-CN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hint="default" w:ascii="Cambria Math" w:hAnsi="Cambria Math" w:eastAsia="宋体" w:cs="宋体"/>
                          <w:sz w:val="24"/>
                          <w:szCs w:val="24"/>
                          <w:lang w:val="en-US" w:eastAsia="zh-CN"/>
                        </w:rPr>
                        <m:t>ij</m:t>
                      </m:r>
                      <m:ctrlPr>
                        <w:rPr>
                          <w:rFonts w:hint="eastAsia" w:ascii="Cambria Math" w:hAnsi="Cambria Math" w:eastAsia="宋体" w:cs="宋体"/>
                          <w:sz w:val="24"/>
                          <w:szCs w:val="24"/>
                          <w:lang w:val="en-US" w:eastAsia="zh-CN"/>
                        </w:rPr>
                      </m:ctrlPr>
                    </m:sub>
                  </m:sSub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e>
              </m:nary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den>
          </m:f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,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acc>
                <m:accP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y</m:t>
                  </m: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e>
              </m:acc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</m:t>
              </m: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=</m:t>
          </m:r>
          <m:nary>
            <m:naryPr>
              <m:chr m:val="∑"/>
              <m:limLoc m:val="subSup"/>
              <m:supHide m:val="1"/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naryPr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k∈</m:t>
              </m:r>
              <m:sSubSup>
                <m:sSubSupP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S</m:t>
                  </m: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i</m:t>
                  </m: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sub>
                <m:sup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30</m:t>
                  </m: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sup>
              </m:sSubSup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  <m:sup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p>
            <m:e>
              <m:sSub>
                <m:sSubP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w</m:t>
                  </m: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ik</m:t>
                  </m: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sub>
              </m:sSub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</m:nary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acc>
                <m:accP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y</m:t>
                  </m: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e>
              </m:acc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ik</m:t>
              </m: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</m:oMath>
      </m:oMathPara>
    </w:p>
    <w:p w14:paraId="5667D380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该步骤把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多个候选区域的结果综合起来。当前缀较短时，不同候选区域可以共同参与预测；当前缀较长时，分类</w:t>
      </w:r>
      <w:r>
        <w:rPr>
          <w:rFonts w:ascii="宋体" w:hAnsi="宋体" w:eastAsia="宋体" w:cs="宋体"/>
          <w:sz w:val="24"/>
          <w:szCs w:val="24"/>
        </w:rPr>
        <w:t>概率通常会更集中，权重也会更偏向最可能的目的地区域。</w:t>
      </w:r>
    </w:p>
    <w:p w14:paraId="2633F0CA">
      <w:pPr>
        <w:pStyle w:val="4"/>
        <w:snapToGrid w:val="0"/>
        <w:spacing w:before="93" w:beforeLines="30" w:after="0" w:line="360" w:lineRule="auto"/>
        <w:rPr>
          <w:rFonts w:hint="eastAsia"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</w:rPr>
        <w:t>2.2.6 误差评价</w:t>
      </w:r>
    </w:p>
    <w:p w14:paraId="6B2A95D1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预测结果使用真实终点与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预测终点之间的球面距离进行评价。经纬度点位于地球表面，直接使用普通欧氏距离不够准确，因此程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序使用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Haversine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距离。最终主要统计平均误差。</w:t>
      </w:r>
    </w:p>
    <w:p w14:paraId="0DAECA1F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m:oMathPara>
        <m:oMath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Error=</m:t>
          </m:r>
          <m:f>
            <m:f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fPr>
            <m:num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1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num>
            <m:den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N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den>
          </m:f>
          <m:nary>
            <m:naryPr>
              <m:chr m:val="∑"/>
              <m:limLoc m:val="subSup"/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naryPr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i=1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  <m:sup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N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p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d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</m:nary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(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y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</m:t>
              </m:r>
              <m:ctrlPr>
                <w:rPr>
                  <w:rFonts w:hint="eastAsia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,</m:t>
          </m:r>
          <m:sSub>
            <m:sSubP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SubPr>
            <m:e>
              <m:acc>
                <m:accPr>
                  <m:ctrl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hint="default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  <m:t>y</m:t>
                  </m:r>
                  <m:ctrlPr>
                    <w:rPr>
                      <w:rFonts w:hint="eastAsia" w:ascii="Cambria Math" w:hAnsi="Cambria Math" w:eastAsia="宋体" w:cs="宋体"/>
                      <w:sz w:val="24"/>
                      <w:szCs w:val="24"/>
                      <w:lang w:val="en-US" w:eastAsia="zh-CN"/>
                    </w:rPr>
                  </m:ctrlPr>
                </m:e>
              </m:acc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e>
            <m:sub>
              <m:r>
                <m:rPr>
                  <m:sty m:val="p"/>
                </m:r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  <m:t>i</m:t>
              </m:r>
              <m:ctrlPr>
                <w:rPr>
                  <w:rFonts w:hint="default" w:ascii="Cambria Math" w:hAnsi="Cambria Math" w:eastAsia="宋体" w:cs="宋体"/>
                  <w:sz w:val="24"/>
                  <w:szCs w:val="24"/>
                  <w:lang w:val="en-US" w:eastAsia="zh-CN"/>
                </w:rPr>
              </m:ctrlPr>
            </m:sub>
          </m:sSub>
          <m:r>
            <m:rPr>
              <m:sty m:val="p"/>
            </m:rPr>
            <w:rPr>
              <w:rFonts w:hint="default" w:ascii="Cambria Math" w:hAnsi="Cambria Math" w:eastAsia="宋体" w:cs="宋体"/>
              <w:sz w:val="24"/>
              <w:szCs w:val="24"/>
              <w:lang w:val="en-US" w:eastAsia="zh-CN"/>
            </w:rPr>
            <m:t>)</m:t>
          </m:r>
        </m:oMath>
      </m:oMathPara>
    </w:p>
    <w:p w14:paraId="586BA4F1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其中，</w:t>
      </w:r>
      <m:oMath>
        <m:r>
          <m:rPr>
            <m:sty m:val="p"/>
          </m:rPr>
          <w:rPr>
            <w:rFonts w:hint="default" w:ascii="Cambria Math" w:hAnsi="Cambria Math" w:eastAsia="宋体" w:cs="宋体"/>
            <w:sz w:val="24"/>
            <w:szCs w:val="24"/>
            <w:lang w:val="en-US" w:eastAsia="zh-CN"/>
          </w:rPr>
          <m:t>d(</m:t>
        </m:r>
        <m:sSub>
          <m:sSubPr>
            <m:ctrl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</m:ctrlPr>
          </m:sSubPr>
          <m:e>
            <m:r>
              <m:rPr>
                <m:sty m:val="p"/>
              </m:r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  <m:t>y</m:t>
            </m:r>
            <m:ctrlPr>
              <w:rPr>
                <w:rFonts w:hint="eastAsia" w:ascii="Cambria Math" w:hAnsi="Cambria Math" w:eastAsia="宋体" w:cs="宋体"/>
                <w:sz w:val="24"/>
                <w:szCs w:val="24"/>
                <w:lang w:val="en-US" w:eastAsia="zh-CN"/>
              </w:rPr>
            </m:ctrlPr>
          </m:e>
          <m:sub>
            <m:r>
              <m:rPr>
                <m:sty m:val="p"/>
              </m:r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  <m:t>i</m:t>
            </m:r>
            <m:ctrlPr>
              <w:rPr>
                <w:rFonts w:hint="eastAsia" w:ascii="Cambria Math" w:hAnsi="Cambria Math" w:eastAsia="宋体" w:cs="宋体"/>
                <w:sz w:val="24"/>
                <w:szCs w:val="24"/>
                <w:lang w:val="en-US" w:eastAsia="zh-CN"/>
              </w:rPr>
            </m:ctrlPr>
          </m:sub>
        </m:sSub>
        <m:r>
          <m:rPr>
            <m:sty m:val="p"/>
          </m:rPr>
          <w:rPr>
            <w:rFonts w:hint="default" w:ascii="Cambria Math" w:hAnsi="Cambria Math" w:eastAsia="宋体" w:cs="宋体"/>
            <w:sz w:val="24"/>
            <w:szCs w:val="24"/>
            <w:lang w:val="en-US" w:eastAsia="zh-CN"/>
          </w:rPr>
          <m:t>,</m:t>
        </m:r>
        <m:sSub>
          <m:sSubPr>
            <m:ctrl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</m:ctrlPr>
          </m:sSubPr>
          <m:e>
            <m:acc>
              <m:accPr>
                <m:ctrlPr>
                  <w:rPr>
                    <w:rFonts w:hint="default" w:ascii="Cambria Math" w:hAnsi="Cambria Math" w:eastAsia="宋体" w:cs="宋体"/>
                    <w:sz w:val="24"/>
                    <w:szCs w:val="24"/>
                    <w:lang w:val="en-US" w:eastAsia="zh-CN"/>
                  </w:rPr>
                </m:ctrlPr>
              </m:accPr>
              <m:e>
                <m:r>
                  <m:rPr>
                    <m:sty m:val="p"/>
                  </m:rPr>
                  <w:rPr>
                    <w:rFonts w:hint="default" w:ascii="Cambria Math" w:hAnsi="Cambria Math" w:eastAsia="宋体" w:cs="宋体"/>
                    <w:sz w:val="24"/>
                    <w:szCs w:val="24"/>
                    <w:lang w:val="en-US" w:eastAsia="zh-CN"/>
                  </w:rPr>
                  <m:t>y</m:t>
                </m:r>
                <m:ctrlPr>
                  <w:rPr>
                    <w:rFonts w:hint="eastAsia" w:ascii="Cambria Math" w:hAnsi="Cambria Math" w:eastAsia="宋体" w:cs="宋体"/>
                    <w:sz w:val="24"/>
                    <w:szCs w:val="24"/>
                    <w:lang w:val="en-US" w:eastAsia="zh-CN"/>
                  </w:rPr>
                </m:ctrlPr>
              </m:e>
            </m:acc>
            <m:ctrl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</m:ctrlPr>
          </m:e>
          <m:sub>
            <m:r>
              <m:rPr>
                <m:sty m:val="p"/>
              </m:r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  <m:t>i</m:t>
            </m:r>
            <m:ctrlPr>
              <w:rPr>
                <w:rFonts w:hint="default" w:ascii="Cambria Math" w:hAnsi="Cambria Math" w:eastAsia="宋体" w:cs="宋体"/>
                <w:sz w:val="24"/>
                <w:szCs w:val="24"/>
                <w:lang w:val="en-US" w:eastAsia="zh-CN"/>
              </w:rPr>
            </m:ctrlPr>
          </m:sub>
        </m:sSub>
        <m:r>
          <m:rPr>
            <m:sty m:val="p"/>
          </m:rPr>
          <w:rPr>
            <w:rFonts w:hint="default" w:ascii="Cambria Math" w:hAnsi="Cambria Math" w:eastAsia="宋体" w:cs="宋体"/>
            <w:sz w:val="24"/>
            <w:szCs w:val="24"/>
            <w:lang w:val="en-US" w:eastAsia="zh-CN"/>
          </w:rPr>
          <m:t>)</m:t>
        </m:r>
      </m:oMath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表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示真实终点和预测终点之间的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Haversine 距离，单位为千米。程序还会输出中位数误差、90% 分位误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差和最大误差，用于观察模型在多数样本和较大误差样本上的表现。</w:t>
      </w:r>
    </w:p>
    <w:p w14:paraId="7BE08FBD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</w:rPr>
      </w:pPr>
      <w:r>
        <w:rPr>
          <w:rStyle w:val="16"/>
          <w:rFonts w:hint="eastAsia" w:ascii="Times New Roman" w:hAnsi="Times New Roman" w:eastAsia="宋体" w:cs="Times New Roman"/>
          <w:b/>
          <w:bCs/>
        </w:rPr>
        <w:t>表 2-</w:t>
      </w:r>
      <w:r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  <w:t>8</w:t>
      </w:r>
      <w:r>
        <w:rPr>
          <w:rStyle w:val="16"/>
          <w:rFonts w:hint="eastAsia" w:ascii="Times New Roman" w:hAnsi="Times New Roman" w:eastAsia="宋体" w:cs="Times New Roman"/>
          <w:b/>
          <w:bCs/>
        </w:rPr>
        <w:t xml:space="preserve"> 最终模型各模块作用</w:t>
      </w:r>
    </w:p>
    <w:tbl>
      <w:tblPr>
        <w:tblStyle w:val="14"/>
        <w:tblW w:w="8522" w:type="dxa"/>
        <w:jc w:val="center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902"/>
        <w:gridCol w:w="2857"/>
        <w:gridCol w:w="3763"/>
      </w:tblGrid>
      <w:tr w14:paraId="240FAD5F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</w:tblPrEx>
        <w:trPr>
          <w:trHeight w:val="0" w:hRule="atLeast"/>
          <w:tblHeader/>
          <w:jc w:val="center"/>
        </w:trPr>
        <w:tc>
          <w:tcPr>
            <w:tcW w:w="1902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180969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模块</w:t>
            </w:r>
          </w:p>
        </w:tc>
        <w:tc>
          <w:tcPr>
            <w:tcW w:w="2857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713011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输入</w:t>
            </w:r>
          </w:p>
        </w:tc>
        <w:tc>
          <w:tcPr>
            <w:tcW w:w="3763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A0947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输出</w:t>
            </w:r>
          </w:p>
        </w:tc>
      </w:tr>
      <w:tr w14:paraId="0D554F53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0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3CA0B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前缀构造</w:t>
            </w:r>
          </w:p>
        </w:tc>
        <w:tc>
          <w:tcPr>
            <w:tcW w:w="285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65D739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完整轨迹</w:t>
            </w:r>
          </w:p>
        </w:tc>
        <w:tc>
          <w:tcPr>
            <w:tcW w:w="376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87FA38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20%、40%、60% 前缀</w:t>
            </w:r>
          </w:p>
        </w:tc>
      </w:tr>
      <w:tr w14:paraId="0D717297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0B538B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特征提取</w:t>
            </w:r>
          </w:p>
        </w:tc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1D0F9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前缀轨迹</w:t>
            </w:r>
          </w:p>
        </w:tc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C70A0D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位置、时间、方向、运动特征</w:t>
            </w:r>
          </w:p>
        </w:tc>
      </w:tr>
      <w:tr w14:paraId="4B7669F0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28329B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KMeans 聚类</w:t>
            </w:r>
          </w:p>
        </w:tc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097A1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训练集真实终点</w:t>
            </w:r>
          </w:p>
        </w:tc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A112B5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聚类中心和聚类标签</w:t>
            </w:r>
          </w:p>
        </w:tc>
      </w:tr>
      <w:tr w14:paraId="72CC5194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3FCA3E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聚类分类器</w:t>
            </w:r>
          </w:p>
        </w:tc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C45824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前缀特征</w:t>
            </w:r>
          </w:p>
        </w:tc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A5F72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各终点聚类概率</w:t>
            </w:r>
          </w:p>
        </w:tc>
      </w:tr>
      <w:tr w14:paraId="43718667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C46498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Top-30 选择</w:t>
            </w:r>
          </w:p>
        </w:tc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A0DE05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聚类概率</w:t>
            </w:r>
          </w:p>
        </w:tc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D57811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30 个候选聚类</w:t>
            </w:r>
          </w:p>
        </w:tc>
      </w:tr>
      <w:tr w14:paraId="4E3C87A5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3DC34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类内偏移回归</w:t>
            </w:r>
          </w:p>
        </w:tc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69CC5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前缀特征 + 聚类中心</w:t>
            </w:r>
          </w:p>
        </w:tc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D0C2A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终点偏移量</w:t>
            </w:r>
          </w:p>
        </w:tc>
      </w:tr>
      <w:tr w14:paraId="6E00450D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5CAF19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加权融合</w:t>
            </w:r>
          </w:p>
        </w:tc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197AE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候选终点 + 聚类概率</w:t>
            </w:r>
          </w:p>
        </w:tc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7BCBF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最终预测终点</w:t>
            </w:r>
          </w:p>
        </w:tc>
      </w:tr>
      <w:tr w14:paraId="696E4F08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0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E7E5DB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误差计算</w:t>
            </w:r>
          </w:p>
        </w:tc>
        <w:tc>
          <w:tcPr>
            <w:tcW w:w="2857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1371E8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预测终点和真实终点</w:t>
            </w:r>
          </w:p>
        </w:tc>
        <w:tc>
          <w:tcPr>
            <w:tcW w:w="376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2AE3EC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m:rPr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距离误差</w:t>
            </w:r>
          </w:p>
        </w:tc>
      </w:tr>
    </w:tbl>
    <w:p w14:paraId="4CA8005A">
      <w:pPr>
        <w:adjustRightInd w:val="0"/>
        <w:snapToGrid w:val="0"/>
        <w:spacing w:line="360" w:lineRule="auto"/>
        <w:ind w:firstLine="480" w:firstLineChars="200"/>
        <m:rPr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88CA122">
      <w:pPr>
        <w:adjustRightInd w:val="0"/>
        <w:snapToGrid w:val="0"/>
        <w:spacing w:line="360" w:lineRule="auto"/>
        <w:ind w:firstLine="480" w:firstLineChars="200"/>
        <m:rPr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m:rPr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ClusterTop30OffsetXGBoostDeep </w:t>
      </w:r>
      <w:r>
        <m:rPr/>
        <w:rPr>
          <w:rFonts w:hint="eastAsia" w:ascii="宋体" w:hAnsi="宋体" w:eastAsia="宋体" w:cs="宋体"/>
          <w:sz w:val="24"/>
          <w:szCs w:val="24"/>
          <w:lang w:val="en-US" w:eastAsia="zh-CN"/>
        </w:rPr>
        <w:t>的有效性来自两个方面。</w:t>
      </w:r>
      <w:r>
        <m:rPr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KMeans </w:t>
      </w:r>
      <w:r>
        <m:rPr/>
        <w:rPr>
          <w:rFonts w:hint="eastAsia" w:ascii="宋体" w:hAnsi="宋体" w:eastAsia="宋体" w:cs="宋体"/>
          <w:sz w:val="24"/>
          <w:szCs w:val="24"/>
          <w:lang w:val="en-US" w:eastAsia="zh-CN"/>
        </w:rPr>
        <w:t>聚类利用了终点空间聚集的特点，使模型先判断目的地区域，而不是直接在全城市范围内回归坐标。</w:t>
      </w:r>
      <w:r>
        <m:rPr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Top-</w:t>
      </w:r>
      <w:r>
        <m:rPr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30 候选区域</w:t>
      </w:r>
      <w:r>
        <m:rPr/>
        <w:rPr>
          <w:rFonts w:hint="eastAsia" w:ascii="宋体" w:hAnsi="宋体" w:eastAsia="宋体" w:cs="宋体"/>
          <w:sz w:val="24"/>
          <w:szCs w:val="24"/>
          <w:lang w:val="en-US" w:eastAsia="zh-CN"/>
        </w:rPr>
        <w:t>保留了短前缀下的目的地不确定性，类内偏移回归又能在候选区域内部进一步修正位置。同时保留了分类方法的区域判断能力和回归方法的坐标预测能力。</w:t>
      </w:r>
    </w:p>
    <w:p w14:paraId="50F631BC">
      <w:pPr>
        <w:pStyle w:val="4"/>
        <w:snapToGrid w:val="0"/>
        <w:spacing w:before="93" w:beforeLines="30" w:after="0" w:line="360" w:lineRule="auto"/>
        <w:rPr>
          <w:rFonts w:hint="eastAsia"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szCs w:val="28"/>
        </w:rPr>
        <w:t>2</w:t>
      </w:r>
      <w:r>
        <w:rPr>
          <w:rFonts w:ascii="Times New Roman" w:hAnsi="Times New Roman" w:eastAsia="黑体"/>
          <w:sz w:val="28"/>
          <w:szCs w:val="28"/>
        </w:rPr>
        <w:t>.</w:t>
      </w:r>
      <w:r>
        <w:rPr>
          <w:rFonts w:hint="eastAsia" w:ascii="Times New Roman" w:hAnsi="Times New Roman" w:eastAsia="黑体"/>
          <w:sz w:val="28"/>
          <w:szCs w:val="28"/>
        </w:rPr>
        <w:t>3</w:t>
      </w:r>
      <w:r>
        <w:rPr>
          <w:rFonts w:ascii="Times New Roman" w:hAnsi="Times New Roman" w:eastAsia="黑体"/>
          <w:sz w:val="28"/>
          <w:szCs w:val="28"/>
        </w:rPr>
        <w:t xml:space="preserve"> </w:t>
      </w:r>
      <w:r>
        <w:rPr>
          <w:rFonts w:hint="eastAsia" w:ascii="Times New Roman" w:hAnsi="Times New Roman" w:eastAsia="黑体"/>
          <w:sz w:val="28"/>
          <w:szCs w:val="28"/>
        </w:rPr>
        <w:t>程序源码</w:t>
      </w:r>
    </w:p>
    <w:p w14:paraId="5409F808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本实验完整程序包含数据清洗、前缀构造、特征提取、基础模型比较、轨迹相似度实验、终点聚类实验和全量运行等多个脚本。由于完整源码较长，正文中只保留最终模型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ClusterTop30OffsetXGBoostDeep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的核心代码。该代码体现了本实验的主要改进点：终点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聚类、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Top-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30 候选区域选择、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类内偏移回归和概率加权融合。</w:t>
      </w:r>
    </w:p>
    <w:p w14:paraId="4E9E9678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完整项目工程包含全部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Python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源码、运行脚本、样本实验结果、全量实验结果和部分可视化图片。为便于复现，项目工程已整理并上传至百度网盘，链接如下：</w:t>
      </w:r>
    </w:p>
    <w:p w14:paraId="37184A3A">
      <w:pPr>
        <w:adjustRightInd w:val="0"/>
        <w:snapToGrid w:val="0"/>
        <w:spacing w:line="360" w:lineRule="auto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链接：https://pan.baidu.com/s/1V3lIGJ55hziJa2GKKVlWbw?pwd=0000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br w:type="textWrapping"/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ab/>
        <w:t>提取码：0000</w:t>
      </w:r>
    </w:p>
    <w:p w14:paraId="05EAFE00">
      <w:pPr>
        <w:adjustRightInd w:val="0"/>
        <w:snapToGrid w:val="0"/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正文中展示的代码为最终主模型的核心实现。完整工程还包括数据清洗、前缀构造、基础模型比较、轨迹相似度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实验、混合模型实验、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CPU 全量运行和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GPU 全量运行等代码，均可在上述项目工程中查看。</w:t>
      </w:r>
    </w:p>
    <w:p w14:paraId="2770AE0C">
      <w:pPr>
        <w:adjustRightInd w:val="0"/>
        <w:snapToGrid w:val="0"/>
        <w:spacing w:line="312" w:lineRule="auto"/>
        <w:jc w:val="both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Style w:val="16"/>
          <w:rFonts w:hint="eastAsia" w:ascii="Times New Roman" w:hAnsi="Times New Roman" w:eastAsia="宋体" w:cs="Times New Roman"/>
          <w:b/>
          <w:bCs/>
        </w:rPr>
        <w:t>代码 2-1</w:t>
      </w:r>
      <w:r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  <w:t xml:space="preserve"> </w:t>
      </w:r>
      <w:r>
        <w:rPr>
          <w:rStyle w:val="16"/>
          <w:rFonts w:hint="eastAsia" w:ascii="Times New Roman" w:hAnsi="Times New Roman" w:eastAsia="宋体" w:cs="Times New Roman"/>
          <w:b/>
          <w:bCs/>
        </w:rPr>
        <w:t>ClusterTop30OffsetXGBoostDeep 核心代码</w:t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8522"/>
      </w:tblGrid>
      <w:tr w14:paraId="217924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 w14:paraId="500AD0EE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>import numpy as np</w:t>
            </w:r>
          </w:p>
          <w:p w14:paraId="1B659818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>import pandas as pd</w:t>
            </w:r>
          </w:p>
          <w:p w14:paraId="32208A5B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>from sklearn.cluster import MiniBatchKMeans</w:t>
            </w:r>
          </w:p>
          <w:p w14:paraId="7B38F7EE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>from sklearn.multioutput import MultiOutputRegressor</w:t>
            </w:r>
          </w:p>
          <w:p w14:paraId="5FD10DF9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>from xgboost import XGBClassifier, XGBRegressor</w:t>
            </w:r>
          </w:p>
          <w:p w14:paraId="6FE82807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254BCE4A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>BASE_FEATURE_COLUMNS = [</w:t>
            </w:r>
          </w:p>
          <w:p w14:paraId="69A4CB04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"hour", "weekday", "is_weekend",</w:t>
            </w:r>
          </w:p>
          <w:p w14:paraId="4BCC32BA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"start_lng", "start_lat",</w:t>
            </w:r>
          </w:p>
          <w:p w14:paraId="7D0379D1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"current_lng", "current_lat",</w:t>
            </w:r>
          </w:p>
          <w:p w14:paraId="3A47632B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"prefix_len", "prefix_duration_sec",</w:t>
            </w:r>
          </w:p>
          <w:p w14:paraId="4876D487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"prefix_distance_km", "direct_distance_km",</w:t>
            </w:r>
          </w:p>
          <w:p w14:paraId="17B5405F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"prefix_avg_speed",</w:t>
            </w:r>
          </w:p>
          <w:p w14:paraId="78EB65AB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"direction_angle", "recent_direction_angle",</w:t>
            </w:r>
          </w:p>
          <w:p w14:paraId="7329E89B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"lng_delta", "lat_delta",</w:t>
            </w:r>
          </w:p>
          <w:p w14:paraId="40F753EC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"p25_lng", "p25_lat",</w:t>
            </w:r>
          </w:p>
          <w:p w14:paraId="764A5241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"p50_lng", "p50_lat",</w:t>
            </w:r>
          </w:p>
          <w:p w14:paraId="37BBD2EA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"p75_lng", "p75_lat",</w:t>
            </w:r>
          </w:p>
          <w:p w14:paraId="3F82E471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"tortuosity", "angle_change",</w:t>
            </w:r>
          </w:p>
          <w:p w14:paraId="68589B51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"lng_range", "lat_range",</w:t>
            </w:r>
          </w:p>
          <w:p w14:paraId="45F1E8CA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"seg_d1", "seg_d2", "seg_d3", "seg_d4",</w:t>
            </w:r>
          </w:p>
          <w:p w14:paraId="31B9CE6B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>]</w:t>
            </w:r>
          </w:p>
          <w:p w14:paraId="32219A6E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60977A14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>def make_xgb_deep_regressor():</w:t>
            </w:r>
          </w:p>
          <w:p w14:paraId="2D05C19F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# </w:t>
            </w: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>增强参数版 XGBoost 回归器。</w:t>
            </w:r>
          </w:p>
          <w:p w14:paraId="3DE6C1A8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model = XGBRegressor(</w:t>
            </w:r>
          </w:p>
          <w:p w14:paraId="5D1A8B60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n_estimators=1200,</w:t>
            </w:r>
          </w:p>
          <w:p w14:paraId="4A280874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max_depth=8,</w:t>
            </w:r>
          </w:p>
          <w:p w14:paraId="517BF8B9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learning_rate=0.02,</w:t>
            </w:r>
          </w:p>
          <w:p w14:paraId="0011E8F8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subsample=0.90,</w:t>
            </w:r>
          </w:p>
          <w:p w14:paraId="1C6561B9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colsample_bytree=0.90,</w:t>
            </w:r>
          </w:p>
          <w:p w14:paraId="6FF30190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objective="reg:squarederror",</w:t>
            </w:r>
          </w:p>
          <w:p w14:paraId="1E8F5978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tree_method="hist",</w:t>
            </w:r>
          </w:p>
          <w:p w14:paraId="4F6CB915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n_jobs=-1,</w:t>
            </w:r>
          </w:p>
          <w:p w14:paraId="06E66C9B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random_state=42,</w:t>
            </w:r>
          </w:p>
          <w:p w14:paraId="68189687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)</w:t>
            </w:r>
          </w:p>
          <w:p w14:paraId="7FA52EC4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return MultiOutputRegressor(model)</w:t>
            </w:r>
          </w:p>
          <w:p w14:paraId="47FE0E17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712BE494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>def make_xgb_classifier(num_classes):</w:t>
            </w:r>
          </w:p>
          <w:p w14:paraId="59F8A0A2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# </w:t>
            </w: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>XGBoost 聚类分类器。</w:t>
            </w:r>
          </w:p>
          <w:p w14:paraId="066BDE7F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return XGBClassifier(</w:t>
            </w:r>
          </w:p>
          <w:p w14:paraId="27AB843A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n_estimators=700,</w:t>
            </w:r>
          </w:p>
          <w:p w14:paraId="4A2E39B7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max_depth=6,</w:t>
            </w:r>
          </w:p>
          <w:p w14:paraId="4C135D8A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learning_rate=0.035,</w:t>
            </w:r>
          </w:p>
          <w:p w14:paraId="6B1513FD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subsample=0.90,</w:t>
            </w:r>
          </w:p>
          <w:p w14:paraId="32881CD4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colsample_bytree=0.90,</w:t>
            </w:r>
          </w:p>
          <w:p w14:paraId="1287248B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objective="multi:softprob",</w:t>
            </w:r>
          </w:p>
          <w:p w14:paraId="591783C7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num_class=num_classes,</w:t>
            </w:r>
          </w:p>
          <w:p w14:paraId="780FCE41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eval_metric="mlogloss",</w:t>
            </w:r>
          </w:p>
          <w:p w14:paraId="08190CB3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tree_method="hist",</w:t>
            </w:r>
          </w:p>
          <w:p w14:paraId="3A59518F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n_jobs=-1,</w:t>
            </w:r>
          </w:p>
          <w:p w14:paraId="307A3689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random_state=42,</w:t>
            </w:r>
          </w:p>
          <w:p w14:paraId="7ED685B7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)</w:t>
            </w:r>
          </w:p>
          <w:p w14:paraId="0387F0C4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2E1438E0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>def train_offset_model(train_df, train_labels, centers_df):</w:t>
            </w:r>
          </w:p>
          <w:p w14:paraId="4B779A78">
            <w:pPr>
              <w:adjustRightInd w:val="0"/>
              <w:snapToGrid w:val="0"/>
              <w:spacing w:line="360" w:lineRule="auto"/>
              <w:ind w:firstLine="360" w:firstLineChars="200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# </w:t>
            </w: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>训练类内偏移回归器。目标不是直接预测终点，而是预测终点相对聚类中心的偏移量。</w:t>
            </w:r>
          </w:p>
          <w:p w14:paraId="49AE33AF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data = train_df.copy()</w:t>
            </w:r>
          </w:p>
          <w:p w14:paraId="78F9F9E6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data["cluster_id"] = train_labels</w:t>
            </w:r>
          </w:p>
          <w:p w14:paraId="5569ACC0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3A70E7E0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data = data.merge(</w:t>
            </w:r>
          </w:p>
          <w:p w14:paraId="45FF2F92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centers_df[["cluster_id", "center_lng", "center_lat"]],</w:t>
            </w:r>
          </w:p>
          <w:p w14:paraId="351FE4C8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on="cluster_id",</w:t>
            </w:r>
          </w:p>
          <w:p w14:paraId="1CEDFC47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how="left",</w:t>
            </w:r>
          </w:p>
          <w:p w14:paraId="10CE3039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)</w:t>
            </w:r>
          </w:p>
          <w:p w14:paraId="20CB1927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data["offset_lng"] = data["target_lng"] - data["center_lng"]</w:t>
            </w:r>
          </w:p>
          <w:p w14:paraId="6427D6D2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data["offset_lat"] = data["target_lat"] - data["center_lat"]</w:t>
            </w:r>
          </w:p>
          <w:p w14:paraId="027803D9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feature_cols = BASE_FEATURE_COLUMNS + ["center_lng", "center_lat"]</w:t>
            </w:r>
          </w:p>
          <w:p w14:paraId="7AF602AF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model = make_xgb_deep_regressor()</w:t>
            </w:r>
          </w:p>
          <w:p w14:paraId="5D43BF6C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model.fit(</w:t>
            </w:r>
          </w:p>
          <w:p w14:paraId="08CF6420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data[feature_cols].values,</w:t>
            </w:r>
          </w:p>
          <w:p w14:paraId="77CCF241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data[["offset_lng", "offset_lat"]].values,</w:t>
            </w:r>
          </w:p>
          <w:p w14:paraId="622766EE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)</w:t>
            </w:r>
          </w:p>
          <w:p w14:paraId="77C7392B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44632152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return model, feature_cols</w:t>
            </w:r>
          </w:p>
          <w:p w14:paraId="72C98179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265A2D3A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>def predict_with_top30(test_df, top_clusters, top_probs, centers_df, offset_model, feature_cols):</w:t>
            </w:r>
          </w:p>
          <w:p w14:paraId="65B75CC5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# </w:t>
            </w: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>对 Top-30 候选区域分别预测类内偏移，再按照候选区域概率加权得到最终终点。</w:t>
            </w:r>
          </w:p>
          <w:p w14:paraId="4684F8CF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center_lng = centers_df.set_index("cluster_id")["center_lng"].to_dict()</w:t>
            </w:r>
          </w:p>
          <w:p w14:paraId="0F570F11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center_lat = centers_df.set_index("cluster_id")["center_lat"].to_dict()</w:t>
            </w:r>
          </w:p>
          <w:p w14:paraId="0E67A98C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58F3D3C3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pred_lng = np.zeros(len(test_df))</w:t>
            </w:r>
          </w:p>
          <w:p w14:paraId="4ADAE71A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pred_lat = np.zeros(len(test_df))</w:t>
            </w:r>
          </w:p>
          <w:p w14:paraId="1ECF73AA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169C5A3F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base_features = test_df[BASE_FEATURE_COLUMNS].reset_index(drop=True)</w:t>
            </w:r>
          </w:p>
          <w:p w14:paraId="668E257E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54ADA124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for rank in range(top_clusters.shape[1]):</w:t>
            </w:r>
          </w:p>
          <w:p w14:paraId="6670C256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candidate = top_clusters[:, rank]</w:t>
            </w:r>
          </w:p>
          <w:p w14:paraId="6B923BBC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weight = top_probs[:, rank]</w:t>
            </w:r>
          </w:p>
          <w:p w14:paraId="2347B9FE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39E2647C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temp = base_features.copy()</w:t>
            </w:r>
          </w:p>
          <w:p w14:paraId="51848CE7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temp["center_lng"] = [center_lng[int(c)] for c in candidate]</w:t>
            </w:r>
          </w:p>
          <w:p w14:paraId="02864BF6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temp["center_lat"] = [center_lat[int(c)] for c in candidate]</w:t>
            </w:r>
          </w:p>
          <w:p w14:paraId="12BD16F6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210DB00B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offset = offset_model.predict(temp[feature_cols].values)</w:t>
            </w:r>
          </w:p>
          <w:p w14:paraId="248C5372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5FA1B3D7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pred_lng += (temp["center_lng"].values + offset[:, 0]) * weight</w:t>
            </w:r>
          </w:p>
          <w:p w14:paraId="4E22C8DD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pred_lat += (temp["center_lat"].values + offset[:, 1]) * weight</w:t>
            </w:r>
          </w:p>
          <w:p w14:paraId="48A43C03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5B2262FB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return pred_lng, pred_lat</w:t>
            </w:r>
          </w:p>
          <w:p w14:paraId="7EA40229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1BAEBA92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>def run_cluster_top30_offset_xgboost_deep(train_df, test_df, n_clusters=50, top_k=30):</w:t>
            </w:r>
          </w:p>
          <w:p w14:paraId="3E50E5F1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>#</w:t>
            </w:r>
            <w:r>
              <w:rPr>
                <w:rFonts w:hint="eastAsia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>ClusterTop30OffsetXGBoostDeep 主流程。输入为前缀轨迹特征，输出为预测终点经纬度。</w:t>
            </w:r>
          </w:p>
          <w:p w14:paraId="7C207C4E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# 1. 对训练集真实终点进行聚类</w:t>
            </w:r>
          </w:p>
          <w:p w14:paraId="423EBD65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train_xy = lonlat_to_xy_km(</w:t>
            </w:r>
          </w:p>
          <w:p w14:paraId="690F8F9F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train_df["target_lng"].values,</w:t>
            </w:r>
          </w:p>
          <w:p w14:paraId="0502B01F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train_df["target_lat"].values,</w:t>
            </w:r>
          </w:p>
          <w:p w14:paraId="32D25670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)</w:t>
            </w:r>
          </w:p>
          <w:p w14:paraId="795DCE9C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kmeans = MiniBatchKMeans(</w:t>
            </w:r>
          </w:p>
          <w:p w14:paraId="6FD34629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n_clusters=n_clusters,</w:t>
            </w:r>
          </w:p>
          <w:p w14:paraId="0FF12BFA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batch_size=8192,</w:t>
            </w:r>
          </w:p>
          <w:p w14:paraId="60E9D0E7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random_state=42,</w:t>
            </w:r>
          </w:p>
          <w:p w14:paraId="28B4FB16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n_init=10,</w:t>
            </w:r>
          </w:p>
          <w:p w14:paraId="3CDCAAE5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)</w:t>
            </w:r>
          </w:p>
          <w:p w14:paraId="0E398DEC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16B5CCEF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train_labels = kmeans.fit_predict(train_xy)</w:t>
            </w:r>
          </w:p>
          <w:p w14:paraId="18108096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3CBC5620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center_lng, center_lat = xy_km_to_lonlat(</w:t>
            </w:r>
          </w:p>
          <w:p w14:paraId="791342A3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kmeans.cluster_centers_[:, 0],</w:t>
            </w:r>
          </w:p>
          <w:p w14:paraId="5A844F6A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kmeans.cluster_centers_[:, 1],</w:t>
            </w:r>
          </w:p>
          <w:p w14:paraId="0BD7B800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)</w:t>
            </w:r>
          </w:p>
          <w:p w14:paraId="74FA3B62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710A7B0A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centers_df = pd.DataFrame({</w:t>
            </w:r>
          </w:p>
          <w:p w14:paraId="230266E2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"cluster_id": np.arange(n_clusters),</w:t>
            </w:r>
          </w:p>
          <w:p w14:paraId="48FB0003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"center_lng": center_lng,</w:t>
            </w:r>
          </w:p>
          <w:p w14:paraId="1CC8466A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"center_lat": center_lat,</w:t>
            </w:r>
          </w:p>
          <w:p w14:paraId="3DE06291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})</w:t>
            </w:r>
          </w:p>
          <w:p w14:paraId="27892ACB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59F08D23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# 2. 训练聚类分类器，输出每个终点区域的概率</w:t>
            </w:r>
          </w:p>
          <w:p w14:paraId="548BCF94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clf = make_xgb_classifier(num_classes=n_clusters)</w:t>
            </w:r>
          </w:p>
          <w:p w14:paraId="267D75F3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clf.fit(train_df[BASE_FEATURE_COLUMNS].values, train_labels)</w:t>
            </w:r>
          </w:p>
          <w:p w14:paraId="7FA392AF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1445EF92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prob_matrix = clf.predict_proba(test_df[BASE_FEATURE_COLUMNS].values)</w:t>
            </w:r>
          </w:p>
          <w:p w14:paraId="0F46940D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316CCD16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# 3. 选择 Top-30 候选终点区域</w:t>
            </w:r>
          </w:p>
          <w:p w14:paraId="43BB6A3D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top_pos = np.argsort(-prob_matrix, axis=1)[:, :top_k]</w:t>
            </w:r>
          </w:p>
          <w:p w14:paraId="68B9C29E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top_probs = np.take_along_axis(prob_matrix, top_pos, axis=1)</w:t>
            </w:r>
          </w:p>
          <w:p w14:paraId="541408A3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top_clusters = clf.classes_[top_pos]</w:t>
            </w:r>
          </w:p>
          <w:p w14:paraId="37CE2F75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7712EA79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top_probs = top_probs / top_probs.sum(axis=1, keepdims=True)</w:t>
            </w:r>
          </w:p>
          <w:p w14:paraId="3F00A377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5C14F1F7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# 4. 训练类内偏移回归器</w:t>
            </w:r>
          </w:p>
          <w:p w14:paraId="62478057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offset_model, feature_cols = train_offset_model(</w:t>
            </w:r>
          </w:p>
          <w:p w14:paraId="3A92B9BA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train_df=train_df,</w:t>
            </w:r>
          </w:p>
          <w:p w14:paraId="5DC6F705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train_labels=train_labels,</w:t>
            </w:r>
          </w:p>
          <w:p w14:paraId="6E8AF875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centers_df=centers_df,</w:t>
            </w:r>
          </w:p>
          <w:p w14:paraId="737BEB25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)</w:t>
            </w:r>
          </w:p>
          <w:p w14:paraId="1A556F1A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4078E547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# 5. 对 Top-30 候选区域加权预测最终终点</w:t>
            </w:r>
          </w:p>
          <w:p w14:paraId="2F5DD160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pred_lng, pred_lat = predict_with_top30(</w:t>
            </w:r>
          </w:p>
          <w:p w14:paraId="770163C2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test_df=test_df,</w:t>
            </w:r>
          </w:p>
          <w:p w14:paraId="67300765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top_clusters=top_clusters,</w:t>
            </w:r>
          </w:p>
          <w:p w14:paraId="35A85D54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top_probs=top_probs,</w:t>
            </w:r>
          </w:p>
          <w:p w14:paraId="3B14A564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centers_df=centers_df,</w:t>
            </w:r>
          </w:p>
          <w:p w14:paraId="10DABC56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offset_model=offset_model,</w:t>
            </w:r>
          </w:p>
          <w:p w14:paraId="5F9D160D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    feature_cols=feature_cols,</w:t>
            </w:r>
          </w:p>
          <w:p w14:paraId="0C4766F4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)</w:t>
            </w:r>
          </w:p>
          <w:p w14:paraId="1BB3FDC0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</w:p>
          <w:p w14:paraId="378FCE58">
            <w:pPr>
              <w:adjustRightInd w:val="0"/>
              <w:snapToGrid w:val="0"/>
              <w:spacing w:line="360" w:lineRule="auto"/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Cascadia Code" w:hAnsi="Cascadia Code" w:eastAsia="宋体" w:cs="Cascadia Code"/>
                <w:sz w:val="18"/>
                <w:szCs w:val="18"/>
                <w:vertAlign w:val="baseline"/>
                <w:lang w:val="en-US" w:eastAsia="zh-CN"/>
              </w:rPr>
              <w:t xml:space="preserve">    return pred_lng, pred_lat</w:t>
            </w:r>
          </w:p>
        </w:tc>
      </w:tr>
    </w:tbl>
    <w:p w14:paraId="4E719C9C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 w14:paraId="448F3808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完整实现保存在工程文件中，正文中不展开辅助函数，避免源码部分过长。</w:t>
      </w:r>
    </w:p>
    <w:p w14:paraId="30C68478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上述代码展示了最终模型的主要创新点：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MiniBatchKMeans 负责将终点空间划分为目的地区域，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XGBClassifier 负责预测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Top-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30 候选终点区域，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XGBoostDeep 回归器负责预测候选区域内部的终点偏移量。最终结果不是单个聚类中心，而是多个候选终点按概率加权后的经纬度坐标。这样既保留了终点聚类的区域判断能力，也保留了回归模型对连续坐标的细化能力。</w:t>
      </w:r>
    </w:p>
    <w:p w14:paraId="0BFB01E2">
      <w:pPr>
        <w:pStyle w:val="4"/>
        <w:snapToGrid w:val="0"/>
        <w:spacing w:before="93" w:beforeLines="30" w:after="0" w:line="360" w:lineRule="auto"/>
        <w:rPr>
          <w:rFonts w:hint="eastAsia"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szCs w:val="28"/>
        </w:rPr>
        <w:t>2</w:t>
      </w:r>
      <w:r>
        <w:rPr>
          <w:rFonts w:ascii="Times New Roman" w:hAnsi="Times New Roman" w:eastAsia="黑体"/>
          <w:sz w:val="28"/>
          <w:szCs w:val="28"/>
        </w:rPr>
        <w:t>.</w:t>
      </w:r>
      <w:r>
        <w:rPr>
          <w:rFonts w:hint="eastAsia" w:ascii="Times New Roman" w:hAnsi="Times New Roman" w:eastAsia="黑体"/>
          <w:sz w:val="28"/>
          <w:szCs w:val="28"/>
        </w:rPr>
        <w:t>4</w:t>
      </w:r>
      <w:r>
        <w:rPr>
          <w:rFonts w:ascii="Times New Roman" w:hAnsi="Times New Roman" w:eastAsia="黑体"/>
          <w:sz w:val="28"/>
          <w:szCs w:val="28"/>
        </w:rPr>
        <w:t xml:space="preserve"> </w:t>
      </w:r>
      <w:r>
        <w:rPr>
          <w:rFonts w:hint="eastAsia" w:ascii="Times New Roman" w:hAnsi="Times New Roman" w:eastAsia="黑体"/>
          <w:sz w:val="28"/>
          <w:szCs w:val="28"/>
        </w:rPr>
        <w:t>运行结果</w:t>
      </w:r>
    </w:p>
    <w:p w14:paraId="57B06B90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实验先在 50000 条样本数据上完成模型筛选，再使用全量数据进行验证。50000 样本清洗后得到 48177 条有效轨迹，样本轨迹平均点数为 48.8649，平均行程距离为 6.1573 km，平均行程时长为 717.9734 秒。全量实验使用的有效样本数为 1640633 条。</w:t>
      </w:r>
    </w:p>
    <w:p w14:paraId="6BAA8AE3">
      <w:pPr>
        <w:pStyle w:val="4"/>
        <w:snapToGrid w:val="0"/>
        <w:spacing w:before="93" w:beforeLines="30" w:after="0" w:line="360" w:lineRule="auto"/>
        <w:rPr>
          <w:rFonts w:hint="eastAsia" w:ascii="Times New Roman" w:hAnsi="Times New Roman" w:eastAsia="黑体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2.4.1 基准模型选择结果</w:t>
      </w:r>
    </w:p>
    <w:p w14:paraId="24EED35E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基础模型实验的目标是从常见机器学习模型中选出较强的基准模型。所有模型使用相同的前缀轨迹特征，预测目标均为终点经纬度。评价指标采用预测终点与真实终点之间的平均距离误差，单位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为 km。</w:t>
      </w:r>
    </w:p>
    <w:p w14:paraId="10143FAF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</w:rPr>
      </w:pPr>
      <w:r>
        <w:rPr>
          <w:rStyle w:val="16"/>
          <w:rFonts w:hint="eastAsia" w:ascii="Times New Roman" w:hAnsi="Times New Roman" w:eastAsia="宋体" w:cs="Times New Roman"/>
          <w:b/>
          <w:bCs/>
        </w:rPr>
        <w:t>表 2-</w:t>
      </w:r>
      <w:r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  <w:t>9</w:t>
      </w:r>
      <w:r>
        <w:rPr>
          <w:rStyle w:val="16"/>
          <w:rFonts w:hint="eastAsia" w:ascii="Times New Roman" w:hAnsi="Times New Roman" w:eastAsia="宋体" w:cs="Times New Roman"/>
          <w:b/>
          <w:bCs/>
        </w:rPr>
        <w:t xml:space="preserve"> 基础模型平均误差对比</w:t>
      </w:r>
    </w:p>
    <w:tbl>
      <w:tblPr>
        <w:tblStyle w:val="14"/>
        <w:tblW w:w="8519" w:type="dxa"/>
        <w:jc w:val="center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9"/>
        <w:gridCol w:w="1730"/>
        <w:gridCol w:w="1730"/>
        <w:gridCol w:w="1730"/>
      </w:tblGrid>
      <w:tr w14:paraId="48A11327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AE3810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模型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5C5575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20%前缀/km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67A77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40%前缀/km</w:t>
            </w:r>
          </w:p>
        </w:tc>
        <w:tc>
          <w:tcPr>
            <w:tcW w:w="1730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ACB72B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60%前缀/km</w:t>
            </w:r>
          </w:p>
        </w:tc>
      </w:tr>
      <w:tr w14:paraId="162A5F31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6EA0F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Baseline_CurrentPoint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0CE1FD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3.2147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C9DBEF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2.5852</w:t>
            </w:r>
          </w:p>
        </w:tc>
        <w:tc>
          <w:tcPr>
            <w:tcW w:w="173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27B9A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1.7087</w:t>
            </w:r>
          </w:p>
        </w:tc>
      </w:tr>
      <w:tr w14:paraId="0902B9FB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8D40D9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RandomForest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CAD019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2.3498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30D781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1.6836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8B83A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1.0383</w:t>
            </w:r>
          </w:p>
        </w:tc>
      </w:tr>
      <w:tr w14:paraId="50BAF024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40F1E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ExtraTrees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391105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2.3322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DB93B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1.6701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F01BA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1.0347</w:t>
            </w:r>
          </w:p>
        </w:tc>
      </w:tr>
      <w:tr w14:paraId="057F516A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91EAAB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HistGradientBoosting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66AE2D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2.4242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94CE5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1.7854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2837EB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1.1447</w:t>
            </w:r>
          </w:p>
        </w:tc>
      </w:tr>
      <w:tr w14:paraId="7CE4F7D8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99838D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KNN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444C4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2.4892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C7BD73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1.8464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108876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1.2489</w:t>
            </w:r>
          </w:p>
        </w:tc>
      </w:tr>
      <w:tr w14:paraId="4EFA487C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3514C6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XGBoost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6A354C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2.3533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A9C28F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1.7144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573C43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1.0858</w:t>
            </w:r>
          </w:p>
        </w:tc>
      </w:tr>
      <w:tr w14:paraId="4481000F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32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8FEDD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XGBoostDeep</w:t>
            </w:r>
          </w:p>
        </w:tc>
        <w:tc>
          <w:tcPr>
            <w:tcW w:w="173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C86592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2.3247</w:t>
            </w:r>
          </w:p>
        </w:tc>
        <w:tc>
          <w:tcPr>
            <w:tcW w:w="173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ED61BF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1.6686</w:t>
            </w:r>
          </w:p>
        </w:tc>
        <w:tc>
          <w:tcPr>
            <w:tcW w:w="173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66178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1.0459</w:t>
            </w:r>
          </w:p>
        </w:tc>
      </w:tr>
    </w:tbl>
    <w:p w14:paraId="3DB9E273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060AAC9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从表 2-9 可以看出，所有训练模型都明显优于 Baseline_CurrentPoint，说明前缀轨迹特征对终点预测是有效的。KNN 的误差相对较高，说明仅依赖普通特征空间中的近邻样本不够稳定。RandomForest 和 ExtraTrees 效果较好，能够处理一定的非线性关系。HistGradientBoosting 整体表现不如 XGBoost 系列。</w:t>
      </w:r>
    </w:p>
    <w:p w14:paraId="6E92DC2A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XGBoostDeep 在 20% 和 40% 前缀下取得最低误差，分别为 2.3246 km 和 1.6680 km。在 60% 前缀下，ExtraTrees 的平均误差为 1.0347 km，略低于 XGBoostDeep 的 1.0500 km。但从三个前缀比例整体看，XGBoostDeep 更稳定，并且与后续聚类分类和类内偏移回归模型结构一致。因此，后续实验将 XGBoostDeep 作为主要强基准模型。</w:t>
      </w:r>
    </w:p>
    <w:p w14:paraId="7DAD2146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前缀长度对预测误差的影响也比较明显。以 XGBoostDeep 为例，平均误差从 20% 前缀下的 2.3246 km 降至 60% 前缀下的 1.0500 km。车辆行驶轨迹越长，模型能够获得的位置、方向和路径形态信息越充分，终点预测难度随之下降。</w:t>
      </w:r>
    </w:p>
    <w:p w14:paraId="1E8B68C2">
      <w:pPr>
        <w:pStyle w:val="4"/>
        <w:snapToGrid w:val="0"/>
        <w:spacing w:before="93" w:beforeLines="30" w:after="0" w:line="360" w:lineRule="auto"/>
        <w:rPr>
          <w:rFonts w:hint="eastAsia" w:ascii="Times New Roman" w:hAnsi="Times New Roman" w:eastAsia="黑体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2.4.2 轨迹相似度与终点聚类改进结果</w:t>
      </w:r>
    </w:p>
    <w:p w14:paraId="0AA2D796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在确定 XGBoostDeep 作为强基准后，实验继续比较轨迹相似度方法和终点聚类方法。轨迹相似度方法用于检验“前缀形状相似的历史轨迹是否具有相似终点”；终点聚类方法用于利用出租车终点在城市空间中的聚集特征。</w:t>
      </w:r>
    </w:p>
    <w:p w14:paraId="3D196F39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终点聚类实验首先通过肘部图观察不同聚类数量下的聚类变化趋势。该图用于辅助说明聚类数选择的合理性。</w:t>
      </w:r>
    </w:p>
    <w:p w14:paraId="4A72C006">
      <w:pPr>
        <w:adjustRightInd w:val="0"/>
        <w:snapToGrid w:val="0"/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039995" cy="3149600"/>
            <wp:effectExtent l="0" t="0" r="1905" b="0"/>
            <wp:docPr id="18" name="图片 18" descr="sample_endpoint_el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ample_endpoint_elbow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1A6D8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</w:rPr>
      </w:pPr>
      <w:r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  <w:t xml:space="preserve">图 4 </w:t>
      </w:r>
      <w:r>
        <w:rPr>
          <w:rStyle w:val="16"/>
          <w:rFonts w:hint="eastAsia" w:ascii="Times New Roman" w:hAnsi="Times New Roman" w:eastAsia="宋体" w:cs="Times New Roman"/>
          <w:b/>
          <w:bCs/>
        </w:rPr>
        <w:t>终点聚类肘部图</w:t>
      </w:r>
    </w:p>
    <w:p w14:paraId="0C7A4291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default" w:ascii="Times New Roman" w:hAnsi="Times New Roman" w:eastAsia="宋体" w:cs="Times New Roman"/>
          <w:b/>
          <w:bCs/>
          <w:lang w:val="en-US" w:eastAsia="zh-CN"/>
        </w:rPr>
      </w:pPr>
    </w:p>
    <w:p w14:paraId="52FB1750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从样本终点聚类结果看，随着聚类数量增加，聚类损失持续下降，但下降幅度逐渐变缓。实验最终采用 </w:t>
      </w:r>
      <m:oMathPara>
        <m:oMath>
          <m:r>
            <m:rPr>
              <m:sty m:val="p"/>
            </m:rPr>
            <w:rPr>
              <w:rFonts w:hint="default" w:ascii="Times New Roman" w:hAnsi="Times New Roman" w:eastAsia="宋体" w:cs="Times New Roman"/>
              <w:sz w:val="24"/>
              <w:szCs w:val="24"/>
              <w:lang w:val="en-US" w:eastAsia="zh-CN"/>
            </w:rPr>
            <m:t>K=50</m:t>
          </m:r>
        </m:oMath>
      </m:oMathPara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作为终点聚类数量，在聚类精度和后续分类复杂度之间取得平衡。</w:t>
      </w:r>
    </w:p>
    <w:p w14:paraId="022B627D">
      <w:pP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br w:type="page"/>
      </w:r>
    </w:p>
    <w:p w14:paraId="07C69429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随后，对样本终点进行空间可视化。该图用于展示终点在城市空间中的分布情况。</w:t>
      </w:r>
    </w:p>
    <w:p w14:paraId="6C955896">
      <w:pPr>
        <w:adjustRightInd w:val="0"/>
        <w:snapToGrid w:val="0"/>
        <w:spacing w:line="312" w:lineRule="auto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  <w:drawing>
          <wp:inline distT="0" distB="0" distL="114300" distR="114300">
            <wp:extent cx="5039995" cy="4410075"/>
            <wp:effectExtent l="0" t="0" r="1905" b="9525"/>
            <wp:docPr id="17" name="图片 17" descr="sample_start_end_sca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ample_start_end_scatter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92BF">
      <w:pPr>
        <w:adjustRightInd w:val="0"/>
        <w:snapToGrid w:val="0"/>
        <w:spacing w:line="312" w:lineRule="auto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  <w:t>图 5 样本终点聚类散点图</w:t>
      </w:r>
    </w:p>
    <w:p w14:paraId="574FC0DB">
      <w:pPr>
        <w:adjustRightInd w:val="0"/>
        <w:snapToGrid w:val="0"/>
        <w:spacing w:line="312" w:lineRule="auto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41363721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从图 5 可以看出，出租车终点并不是均匀分布在城市空间中，而是集中在若干区域。这说明终点预测不仅可以看作普通经纬度回归问题，也可以先判断目的地区域，再在区域内部进一步预测具体终点位置。</w:t>
      </w:r>
    </w:p>
    <w:p w14:paraId="0FF479B0">
      <w:pP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br w:type="page"/>
      </w:r>
    </w:p>
    <w:p w14:paraId="6FFF3F02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为了进一步观察高频终点区域，实验统计了终点密度最高的聚类区域。</w:t>
      </w:r>
    </w:p>
    <w:p w14:paraId="5D2FF013">
      <w:pPr>
        <w:adjustRightInd w:val="0"/>
        <w:snapToGrid w:val="0"/>
        <w:spacing w:line="312" w:lineRule="auto"/>
        <w:jc w:val="center"/>
        <w:rPr>
          <w:rStyle w:val="16"/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Style w:val="16"/>
          <w:rFonts w:hint="default" w:ascii="Times New Roman" w:hAnsi="Times New Roman" w:eastAsia="宋体" w:cs="Times New Roman"/>
          <w:b/>
          <w:bCs/>
          <w:lang w:val="en-US" w:eastAsia="zh-CN"/>
        </w:rPr>
        <w:drawing>
          <wp:inline distT="0" distB="0" distL="114300" distR="114300">
            <wp:extent cx="5039995" cy="3360420"/>
            <wp:effectExtent l="0" t="0" r="1905" b="5080"/>
            <wp:docPr id="21" name="图片 21" descr="sample_endpoint_cluster_density_top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ample_endpoint_cluster_density_top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CD877">
      <w:pPr>
        <w:adjustRightInd w:val="0"/>
        <w:snapToGrid w:val="0"/>
        <w:spacing w:line="312" w:lineRule="auto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  <w:t>图 6 样本终点聚类密度 Top20</w:t>
      </w:r>
    </w:p>
    <w:p w14:paraId="008F62E4">
      <w:pPr>
        <w:adjustRightInd w:val="0"/>
        <w:snapToGrid w:val="0"/>
        <w:spacing w:line="312" w:lineRule="auto"/>
        <w:jc w:val="center"/>
        <w:rPr>
          <w:rStyle w:val="16"/>
          <w:rFonts w:hint="default" w:ascii="Times New Roman" w:hAnsi="Times New Roman" w:eastAsia="宋体" w:cs="Times New Roman"/>
          <w:b/>
          <w:bCs/>
          <w:lang w:val="en-US" w:eastAsia="zh-CN"/>
        </w:rPr>
      </w:pPr>
    </w:p>
    <w:p w14:paraId="0A713313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图 6 显示了样本中终点密度最高的 20 个聚类区域。部分区域的终点密度明显高于其他区域，说明出租车终点具有较强的空间集中性。该现象为后续设计 ClusterTop30OffsetXGBoostDeep 提供了依据。</w:t>
      </w:r>
    </w:p>
    <w:p w14:paraId="58DEA4A3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样本数据的终点聚类轮廓系数为 0.4206，全量数据的轮廓系数为 0.4150。该结果说明终点分布具有一定聚类结构。基于这一观察，实验进一步比较了轨迹相似度方法、相似度增强模型和终点聚类增强模型。</w:t>
      </w:r>
    </w:p>
    <w:p w14:paraId="55E0AB39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</w:rPr>
      </w:pPr>
      <w:r>
        <w:rPr>
          <w:rStyle w:val="16"/>
          <w:rFonts w:hint="eastAsia" w:ascii="Times New Roman" w:hAnsi="Times New Roman" w:eastAsia="宋体" w:cs="Times New Roman"/>
          <w:b/>
          <w:bCs/>
        </w:rPr>
        <w:t>表 2-</w:t>
      </w:r>
      <w:r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  <w:t>10</w:t>
      </w:r>
      <w:r>
        <w:rPr>
          <w:rStyle w:val="16"/>
          <w:rFonts w:hint="eastAsia" w:ascii="Times New Roman" w:hAnsi="Times New Roman" w:eastAsia="宋体" w:cs="Times New Roman"/>
          <w:b/>
          <w:bCs/>
        </w:rPr>
        <w:t xml:space="preserve"> 改进模型平均误差对比</w:t>
      </w:r>
    </w:p>
    <w:tbl>
      <w:tblPr>
        <w:tblStyle w:val="14"/>
        <w:tblW w:w="8519" w:type="dxa"/>
        <w:jc w:val="center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52"/>
        <w:gridCol w:w="1522"/>
        <w:gridCol w:w="1522"/>
        <w:gridCol w:w="1523"/>
      </w:tblGrid>
      <w:tr w14:paraId="26E4A405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F7B046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模型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30D586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20%前缀/km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F5E6A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40%前缀/km</w:t>
            </w:r>
          </w:p>
        </w:tc>
        <w:tc>
          <w:tcPr>
            <w:tcW w:w="1523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8A1AB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60%前缀/km</w:t>
            </w:r>
          </w:p>
        </w:tc>
      </w:tr>
      <w:tr w14:paraId="36835212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5661CC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XGBoostDeep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9BDC47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2.3247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3CB82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1.6686</w:t>
            </w:r>
          </w:p>
        </w:tc>
        <w:tc>
          <w:tcPr>
            <w:tcW w:w="152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85E5D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1.0459</w:t>
            </w:r>
          </w:p>
        </w:tc>
      </w:tr>
      <w:tr w14:paraId="468E4F5E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B83B4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TrajectorySimilarityOnly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36E8EA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2.4606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015324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1.8277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FEECE1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1.1807</w:t>
            </w:r>
          </w:p>
        </w:tc>
      </w:tr>
      <w:tr w14:paraId="46E5C767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412F86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SimilarityEnhancedXGBoost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D6916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2.3111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CF45D0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1.6635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1B238C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1.0472</w:t>
            </w:r>
          </w:p>
        </w:tc>
      </w:tr>
      <w:tr w14:paraId="3A3ADBAD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04842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ClusterTop3OffsetXGBoost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91DC8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2.3932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74F13B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1.6557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DF5361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1.0190</w:t>
            </w:r>
          </w:p>
        </w:tc>
      </w:tr>
      <w:tr w14:paraId="1F599723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90B0AC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ClusterTop30OffsetXGBoost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9CBEA1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2.3053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FBFEFE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1.6345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D9123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1.0065</w:t>
            </w:r>
          </w:p>
        </w:tc>
      </w:tr>
      <w:tr w14:paraId="15510379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95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E75B06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ClusterTop30OffsetXGBoostDeep</w:t>
            </w:r>
          </w:p>
        </w:tc>
        <w:tc>
          <w:tcPr>
            <w:tcW w:w="152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8562A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2.3039</w:t>
            </w:r>
          </w:p>
        </w:tc>
        <w:tc>
          <w:tcPr>
            <w:tcW w:w="152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215444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1.6324</w:t>
            </w:r>
          </w:p>
        </w:tc>
        <w:tc>
          <w:tcPr>
            <w:tcW w:w="152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63CBA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rPr>
                <w:rFonts w:hint="eastAsia" w:ascii="宋体" w:eastAsia="宋体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1.0047</w:t>
            </w:r>
          </w:p>
        </w:tc>
      </w:tr>
    </w:tbl>
    <w:p w14:paraId="11F88A07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B6AC7B3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从表 2-10 可以看出，TrajectorySimilarityOnly 的误差低于当前点基线，但没有超过 XGBoostDeep。在 20%、40%、60% 三种前缀下，轨迹相似度单独预测的平均误差分别为 2.4606 km、1.8277 km 和 1.1807 km，均高于 XGBoostDeep。这说明相似轨迹能够提供一定参考，但仅依靠历史相似轨迹的终点进行加权预测，稳定性仍然不足。</w:t>
      </w:r>
    </w:p>
    <w:p w14:paraId="2860C7C0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SimilarityEnhancedXGBoost 在轨迹相似度结果的基础上，将相似轨迹预测终点、近邻距离和近邻终点离散程度等信息加入 XGBoost 模型。该方法在 20% 和 40% 前缀下略优于 XGBoostDeep，平均误差分别从 2.3247 km 降至 2.3111 km、从 1.6686 km 降至 1.6635 km。但在 60% 前缀下，误差为 1.0472 km，略高于 XGBoostDeep 的 1.0459 km。说明轨迹相似度特征有一定补充作用，但提升幅度有限，并不适合作为最终主模型。</w:t>
      </w:r>
    </w:p>
    <w:p w14:paraId="24AEEB3D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终点聚类方法的效果更明显。ClusterTop3OffsetXGBoost 在 40% 和 60% 前缀下已经优于 XGBoostDeep，但在 20% 前缀下误差较高。这说明短前缀阶段目的地不确定性较强，只保留 Top-3 候选聚类容易漏掉真实终点区域。将候选范围扩大到 Top-30 后，ClusterTop30OffsetXGBoost 在三种前缀比例下均优于 XGBoostDeep，平均误差分别降至 2.3053 km、1.6345 km 和 1.0065 km。该结果说明，先预测多个候选终点区域，再在候选区域内进行偏移回归，比直接回归经纬度更适合本任务。</w:t>
      </w:r>
    </w:p>
    <w:p w14:paraId="05FE1E9D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在此基础上，进一步将类内偏移回归器替换为增强参数版 XGBoost，得到 ClusterTop30OffsetXGBoostDeep。与普通 ClusterTop30OffsetXGBoost 相比，Deep 版在 20%、40%、60% 前缀下的误差分别从 2.3053 km 降至 2.3039 km、从 1.6345 km 降至 1.6324 km、从 1.0065 km 降至 1.0047 km。虽然提升幅度不大，但三个前缀比例下方向一致，因此最终选择 ClusterTop30OffsetXGBoostDeep 作为主模型。</w:t>
      </w:r>
    </w:p>
    <w:p w14:paraId="29633046">
      <w:pPr>
        <w:adjustRightInd w:val="0"/>
        <w:snapToGrid w:val="0"/>
        <w:spacing w:line="312" w:lineRule="auto"/>
        <w:ind w:firstLine="422" w:firstLineChars="200"/>
        <w:jc w:val="center"/>
        <w:rPr>
          <w:rStyle w:val="16"/>
          <w:rFonts w:hint="eastAsia" w:ascii="Times New Roman" w:hAnsi="Times New Roman" w:eastAsia="宋体" w:cs="Times New Roman"/>
          <w:b/>
          <w:bCs/>
        </w:rPr>
      </w:pPr>
      <w:r>
        <w:rPr>
          <w:rStyle w:val="16"/>
          <w:rFonts w:hint="eastAsia" w:ascii="Times New Roman" w:hAnsi="Times New Roman" w:eastAsia="宋体" w:cs="Times New Roman"/>
          <w:b/>
          <w:bCs/>
        </w:rPr>
        <w:t>表 2-</w:t>
      </w:r>
      <w:r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  <w:t>11</w:t>
      </w:r>
      <w:r>
        <w:rPr>
          <w:rStyle w:val="16"/>
          <w:rFonts w:hint="eastAsia" w:ascii="Times New Roman" w:hAnsi="Times New Roman" w:eastAsia="宋体" w:cs="Times New Roman"/>
          <w:b/>
          <w:bCs/>
        </w:rPr>
        <w:t xml:space="preserve"> ClusterTop30OffsetXGBoostDeep 聚类命中率</w:t>
      </w:r>
    </w:p>
    <w:tbl>
      <w:tblPr>
        <w:tblStyle w:val="14"/>
        <w:tblW w:w="8519" w:type="dxa"/>
        <w:jc w:val="center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244"/>
        <w:gridCol w:w="1754"/>
        <w:gridCol w:w="1754"/>
        <w:gridCol w:w="1883"/>
        <w:gridCol w:w="1884"/>
      </w:tblGrid>
      <w:tr w14:paraId="058D1536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9EBF54B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rFonts w:hint="eastAsia"/>
                <w:b/>
                <w:bCs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前缀比例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AD4FB56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rFonts w:hint="eastAsia"/>
                <w:b/>
                <w:bCs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Top-1 命中率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D613CA4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rFonts w:hint="eastAsia"/>
                <w:b/>
                <w:bCs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Top-3 命中率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2DC9937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rFonts w:hint="eastAsia"/>
                <w:b/>
                <w:bCs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Top-10 命中率</w:t>
            </w:r>
          </w:p>
        </w:tc>
        <w:tc>
          <w:tcPr>
            <w:tcW w:w="1884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DABB663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rFonts w:hint="eastAsia"/>
                <w:b/>
                <w:bCs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Top-30 命中率</w:t>
            </w:r>
          </w:p>
        </w:tc>
      </w:tr>
      <w:tr w14:paraId="46966268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54F5BAB">
            <w:pPr>
              <w:keepNext w:val="0"/>
              <w:keepLines w:val="0"/>
              <w:widowControl/>
              <w:suppressLineNumbers w:val="0"/>
              <w:snapToGrid w:val="0"/>
              <w:jc w:val="left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20%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F9860E4">
            <w:pPr>
              <w:keepNext w:val="0"/>
              <w:keepLines w:val="0"/>
              <w:widowControl/>
              <w:suppressLineNumbers w:val="0"/>
              <w:snapToGrid w:val="0"/>
              <w:jc w:val="right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0.2291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D3BC6D1">
            <w:pPr>
              <w:keepNext w:val="0"/>
              <w:keepLines w:val="0"/>
              <w:widowControl/>
              <w:suppressLineNumbers w:val="0"/>
              <w:snapToGrid w:val="0"/>
              <w:jc w:val="right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0.4503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975B8EC">
            <w:pPr>
              <w:keepNext w:val="0"/>
              <w:keepLines w:val="0"/>
              <w:widowControl/>
              <w:suppressLineNumbers w:val="0"/>
              <w:snapToGrid w:val="0"/>
              <w:jc w:val="right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0.7646</w:t>
            </w:r>
          </w:p>
        </w:tc>
        <w:tc>
          <w:tcPr>
            <w:tcW w:w="188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AA509BF">
            <w:pPr>
              <w:keepNext w:val="0"/>
              <w:keepLines w:val="0"/>
              <w:widowControl/>
              <w:suppressLineNumbers w:val="0"/>
              <w:snapToGrid w:val="0"/>
              <w:jc w:val="right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0.9609</w:t>
            </w:r>
          </w:p>
        </w:tc>
      </w:tr>
      <w:tr w14:paraId="14E9D011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A8FFEE3">
            <w:pPr>
              <w:keepNext w:val="0"/>
              <w:keepLines w:val="0"/>
              <w:widowControl/>
              <w:suppressLineNumbers w:val="0"/>
              <w:snapToGrid w:val="0"/>
              <w:jc w:val="left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9A8748E">
            <w:pPr>
              <w:keepNext w:val="0"/>
              <w:keepLines w:val="0"/>
              <w:widowControl/>
              <w:suppressLineNumbers w:val="0"/>
              <w:snapToGrid w:val="0"/>
              <w:jc w:val="right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0.3553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5C801E5">
            <w:pPr>
              <w:keepNext w:val="0"/>
              <w:keepLines w:val="0"/>
              <w:widowControl/>
              <w:suppressLineNumbers w:val="0"/>
              <w:snapToGrid w:val="0"/>
              <w:jc w:val="right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0.6328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5EDE2DF">
            <w:pPr>
              <w:keepNext w:val="0"/>
              <w:keepLines w:val="0"/>
              <w:widowControl/>
              <w:suppressLineNumbers w:val="0"/>
              <w:snapToGrid w:val="0"/>
              <w:jc w:val="right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0.8826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1B68127">
            <w:pPr>
              <w:keepNext w:val="0"/>
              <w:keepLines w:val="0"/>
              <w:widowControl/>
              <w:suppressLineNumbers w:val="0"/>
              <w:snapToGrid w:val="0"/>
              <w:jc w:val="right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0.9826</w:t>
            </w:r>
          </w:p>
        </w:tc>
      </w:tr>
      <w:tr w14:paraId="6261784E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</w:tblPrEx>
        <w:trPr>
          <w:trHeight w:val="0" w:hRule="atLeast"/>
          <w:jc w:val="center"/>
        </w:trPr>
        <w:tc>
          <w:tcPr>
            <w:tcW w:w="124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4445BDD">
            <w:pPr>
              <w:keepNext w:val="0"/>
              <w:keepLines w:val="0"/>
              <w:widowControl/>
              <w:suppressLineNumbers w:val="0"/>
              <w:snapToGrid w:val="0"/>
              <w:jc w:val="left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60%</w:t>
            </w:r>
          </w:p>
        </w:tc>
        <w:tc>
          <w:tcPr>
            <w:tcW w:w="175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6EA18B1">
            <w:pPr>
              <w:keepNext w:val="0"/>
              <w:keepLines w:val="0"/>
              <w:widowControl/>
              <w:suppressLineNumbers w:val="0"/>
              <w:snapToGrid w:val="0"/>
              <w:jc w:val="right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0.5169</w:t>
            </w:r>
          </w:p>
        </w:tc>
        <w:tc>
          <w:tcPr>
            <w:tcW w:w="175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65F3609">
            <w:pPr>
              <w:keepNext w:val="0"/>
              <w:keepLines w:val="0"/>
              <w:widowControl/>
              <w:suppressLineNumbers w:val="0"/>
              <w:snapToGrid w:val="0"/>
              <w:jc w:val="right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0.7994</w:t>
            </w:r>
          </w:p>
        </w:tc>
        <w:tc>
          <w:tcPr>
            <w:tcW w:w="188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65A4316">
            <w:pPr>
              <w:keepNext w:val="0"/>
              <w:keepLines w:val="0"/>
              <w:widowControl/>
              <w:suppressLineNumbers w:val="0"/>
              <w:snapToGrid w:val="0"/>
              <w:jc w:val="right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0.9502</w:t>
            </w:r>
          </w:p>
        </w:tc>
        <w:tc>
          <w:tcPr>
            <w:tcW w:w="188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D9DF0DC">
            <w:pPr>
              <w:keepNext w:val="0"/>
              <w:keepLines w:val="0"/>
              <w:widowControl/>
              <w:suppressLineNumbers w:val="0"/>
              <w:snapToGrid w:val="0"/>
              <w:jc w:val="right"/>
              <w:rPr>
                <w:rFonts w:hint="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0.9924</w:t>
            </w:r>
          </w:p>
        </w:tc>
      </w:tr>
    </w:tbl>
    <w:p w14:paraId="259C24C8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 w14:paraId="3EF85218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表 2-11 说明了为什么保留 Top-30 候选聚类是必要的。Top-1 命中率并不高，特别是 20% 前缀下只有 0.2291。如果只选择一个最可能的聚类区域，短前缀样本很容易因为区域判断错误导致预测偏离真实终点。Top-30 命中率在三种前缀下都超过 0.96，说明真实终点大概率位于候选区域中。后续类内偏移回归可以在这些候选区域中进一步修正位置。</w:t>
      </w:r>
    </w:p>
    <w:p w14:paraId="4B518630">
      <w:pPr>
        <w:pStyle w:val="4"/>
        <w:snapToGrid w:val="0"/>
        <w:spacing w:before="93" w:beforeLines="30" w:after="0" w:line="360" w:lineRule="auto"/>
        <w:rPr>
          <w:rFonts w:hint="eastAsia" w:ascii="Times New Roman" w:hAnsi="Times New Roman" w:eastAsia="黑体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2.4.3 全量运行结果</w:t>
      </w:r>
    </w:p>
    <w:p w14:paraId="103ADB0B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样本实验确定最终模型后，使用全量数据进行验证。全量运行使用 90% 数据训练、10% 数据测试，比较三个模型：Baseline_CurrentPoint、XGBoost_Deep_DirectRegression 和 ClusterTop30OffsetXGBoostDeep。全量实验有效样本数为 1640633 条。</w:t>
      </w:r>
    </w:p>
    <w:p w14:paraId="552794B4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全量实验中也对终点分布进行了可视化，用于验证样本阶段观察到的聚类结构是否仍然存在。</w:t>
      </w:r>
    </w:p>
    <w:p w14:paraId="421A74B2">
      <w:pPr>
        <w:pStyle w:val="12"/>
        <w:keepNext w:val="0"/>
        <w:keepLines w:val="0"/>
        <w:widowControl/>
        <w:suppressLineNumbers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39995" cy="4410075"/>
            <wp:effectExtent l="0" t="0" r="1905" b="9525"/>
            <wp:docPr id="22" name="图片 22" descr="full_endpoint_clusters_sca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ull_endpoint_clusters_scatter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BDA90">
      <w:pPr>
        <w:adjustRightInd w:val="0"/>
        <w:snapToGrid w:val="0"/>
        <w:spacing w:line="312" w:lineRule="auto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  <w:t>图 7 全量终点聚类散点图</w:t>
      </w:r>
    </w:p>
    <w:p w14:paraId="1FDBC8A4">
      <w:pPr>
        <w:adjustRightInd w:val="0"/>
        <w:snapToGrid w:val="0"/>
        <w:spacing w:line="312" w:lineRule="auto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2BBD27B1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从图 7 可以看出，全量数据中的终点仍然呈现明显的空间聚集现象。这与样本实验结果一致，说明样本阶段得到的终点聚类规律不是偶然结果。</w:t>
      </w:r>
    </w:p>
    <w:p w14:paraId="58F9DF07">
      <w:pPr>
        <w:pStyle w:val="12"/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511550"/>
            <wp:effectExtent l="0" t="0" r="3810" b="6350"/>
            <wp:docPr id="23" name="图片 23" descr="full_endpoint_cluster_density_top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ull_endpoint_cluster_density_top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52786">
      <w:pPr>
        <w:adjustRightInd w:val="0"/>
        <w:snapToGrid w:val="0"/>
        <w:spacing w:line="312" w:lineRule="auto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  <w:t>图 8 全量终点聚类密度 Top20</w:t>
      </w:r>
    </w:p>
    <w:p w14:paraId="76026B98">
      <w:pPr>
        <w:adjustRightInd w:val="0"/>
        <w:snapToGrid w:val="0"/>
        <w:spacing w:line="312" w:lineRule="auto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</w:p>
    <w:p w14:paraId="635D57A0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图 8 展示了全量数据中终点密度最高的聚类区域。高密度区域的存在说明终点空间分布具有明显热点，这进一步支持了“先预测目的地区域，再预测区域内部偏移”的模型设计。全量终点聚类的轮廓系数为 0.4150，与样本实验接近，说明终点聚集结构在更大规模数据上仍然稳定。</w:t>
      </w:r>
    </w:p>
    <w:p w14:paraId="277A8AA6">
      <w:pPr>
        <w:adjustRightInd w:val="0"/>
        <w:snapToGrid w:val="0"/>
        <w:spacing w:line="312" w:lineRule="auto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  <w:t>表 2-12 全量实验平均误差对比</w:t>
      </w:r>
    </w:p>
    <w:tbl>
      <w:tblPr>
        <w:tblStyle w:val="14"/>
        <w:tblW w:w="8522" w:type="dxa"/>
        <w:jc w:val="center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785"/>
        <w:gridCol w:w="976"/>
        <w:gridCol w:w="1642"/>
        <w:gridCol w:w="1746"/>
        <w:gridCol w:w="1582"/>
        <w:gridCol w:w="1791"/>
      </w:tblGrid>
      <w:tr w14:paraId="18EBC238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</w:tblPrEx>
        <w:trPr>
          <w:trHeight w:val="0" w:hRule="atLeast"/>
          <w:tblHeader/>
          <w:jc w:val="center"/>
        </w:trPr>
        <w:tc>
          <w:tcPr>
            <w:tcW w:w="785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23033E6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b/>
                <w:bCs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前缀比例</w:t>
            </w:r>
          </w:p>
        </w:tc>
        <w:tc>
          <w:tcPr>
            <w:tcW w:w="976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DAA7EDA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b/>
                <w:bCs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Baseline/km</w:t>
            </w:r>
          </w:p>
        </w:tc>
        <w:tc>
          <w:tcPr>
            <w:tcW w:w="1642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3C089C9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b/>
                <w:bCs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XGBoostDeep/km</w:t>
            </w:r>
          </w:p>
        </w:tc>
        <w:tc>
          <w:tcPr>
            <w:tcW w:w="1746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3435E58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b/>
                <w:bCs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ClusterTop30Deep/km</w:t>
            </w:r>
          </w:p>
        </w:tc>
        <w:tc>
          <w:tcPr>
            <w:tcW w:w="1582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A10D812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rFonts w:hint="default"/>
                <w:b/>
                <w:bCs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相比 Base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line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提升</w:t>
            </w:r>
          </w:p>
        </w:tc>
        <w:tc>
          <w:tcPr>
            <w:tcW w:w="1791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50E9225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rFonts w:hint="default"/>
                <w:b/>
                <w:bCs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相比 XGBoost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Deep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提升</w:t>
            </w:r>
          </w:p>
        </w:tc>
      </w:tr>
      <w:tr w14:paraId="07D05D57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78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5732CA5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20%</w:t>
            </w:r>
          </w:p>
        </w:tc>
        <w:tc>
          <w:tcPr>
            <w:tcW w:w="97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A42D2A7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3.1416</w:t>
            </w:r>
          </w:p>
        </w:tc>
        <w:tc>
          <w:tcPr>
            <w:tcW w:w="164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50DBA2D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2.1511</w:t>
            </w:r>
          </w:p>
        </w:tc>
        <w:tc>
          <w:tcPr>
            <w:tcW w:w="174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3ADED40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2.1505</w:t>
            </w:r>
          </w:p>
        </w:tc>
        <w:tc>
          <w:tcPr>
            <w:tcW w:w="158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BCE01BF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31.55%</w:t>
            </w:r>
          </w:p>
        </w:tc>
        <w:tc>
          <w:tcPr>
            <w:tcW w:w="179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91AB9AB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0.03%</w:t>
            </w:r>
          </w:p>
        </w:tc>
      </w:tr>
      <w:tr w14:paraId="5C300BA1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BFD552F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40%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1424E4D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2.5104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1CBCD50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1.5209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2F3AB78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1.4857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6EBE20C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40.82%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466F6DA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2.32%</w:t>
            </w:r>
          </w:p>
        </w:tc>
      </w:tr>
      <w:tr w14:paraId="5472168F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78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C033C57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60%</w:t>
            </w:r>
          </w:p>
        </w:tc>
        <w:tc>
          <w:tcPr>
            <w:tcW w:w="97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D6AB2A9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1.6377</w:t>
            </w:r>
          </w:p>
        </w:tc>
        <w:tc>
          <w:tcPr>
            <w:tcW w:w="164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064D4AD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0.9378</w:t>
            </w:r>
          </w:p>
        </w:tc>
        <w:tc>
          <w:tcPr>
            <w:tcW w:w="174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6D7DBBD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0.8840</w:t>
            </w:r>
          </w:p>
        </w:tc>
        <w:tc>
          <w:tcPr>
            <w:tcW w:w="158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82F26AF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46.02%</w:t>
            </w:r>
          </w:p>
        </w:tc>
        <w:tc>
          <w:tcPr>
            <w:tcW w:w="179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56F51E7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5.74%</w:t>
            </w:r>
          </w:p>
        </w:tc>
      </w:tr>
    </w:tbl>
    <w:p w14:paraId="54482E1C"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28335720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全量实验结果与样本实验趋势一致。随着前缀比例从 20% 增加到 60%，三个模型的误差都明显下降。最终模型 ClusterTop30OffsetXGBoostDeep 在三种前缀比例下都取得最低平均误差。20% 前缀下，它与 XGBoostDeep 的差距很小，说明行程早期可用信息较少，聚类模型的优势还不明显。40% 前缀下，最终模型平均误差为 1.4857 km，相比 XGBoostDeep 提升 2.32%。60% 前缀下，最终模型平均误差降至 0.8840 km，相比 XGBoostDeep 提升 5.74%。</w:t>
      </w:r>
    </w:p>
    <w:p w14:paraId="5D99E34F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这说明前缀越长，终点区域判断越准确，聚类模型的优势越明显。短前缀阶段，车辆目的地仍然有较强不确定性；中后段轨迹提供了更多方向和空间位置信息，模型更容易判断候选终点区域，类内偏移回归也能更有效地修正坐标。</w:t>
      </w:r>
    </w:p>
    <w:p w14:paraId="21F4308A">
      <w:pPr>
        <w:adjustRightInd w:val="0"/>
        <w:snapToGrid w:val="0"/>
        <w:spacing w:line="312" w:lineRule="auto"/>
        <w:jc w:val="center"/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Style w:val="16"/>
          <w:rFonts w:hint="eastAsia" w:ascii="Times New Roman" w:hAnsi="Times New Roman" w:eastAsia="宋体" w:cs="Times New Roman"/>
          <w:b/>
          <w:bCs/>
          <w:lang w:val="en-US" w:eastAsia="zh-CN"/>
        </w:rPr>
        <w:t>表 2-13 全量实验聚类命中率</w:t>
      </w:r>
    </w:p>
    <w:tbl>
      <w:tblPr>
        <w:tblStyle w:val="14"/>
        <w:tblW w:w="8519" w:type="dxa"/>
        <w:tblInd w:w="0" w:type="dxa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244"/>
        <w:gridCol w:w="1754"/>
        <w:gridCol w:w="1754"/>
        <w:gridCol w:w="1883"/>
        <w:gridCol w:w="1884"/>
      </w:tblGrid>
      <w:tr w14:paraId="0125E824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D9250B9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b/>
                <w:bCs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前缀比例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6A9868C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b/>
                <w:bCs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Top-1 命中率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E95C75F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b/>
                <w:bCs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Top-3 命中率</w:t>
            </w:r>
          </w:p>
        </w:tc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E375895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b/>
                <w:bCs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Top-10 命中率</w:t>
            </w:r>
          </w:p>
        </w:tc>
        <w:tc>
          <w:tcPr>
            <w:tcW w:w="1884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2A0CD4A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b/>
                <w:bCs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Top-30 命中率</w:t>
            </w:r>
          </w:p>
        </w:tc>
      </w:tr>
      <w:tr w14:paraId="7DC12BBC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6819DD6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20%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9B43001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0.2919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66BBE50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0.5338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2675139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0.8299</w:t>
            </w:r>
          </w:p>
        </w:tc>
        <w:tc>
          <w:tcPr>
            <w:tcW w:w="188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1161E99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0.9794</w:t>
            </w:r>
          </w:p>
        </w:tc>
      </w:tr>
      <w:tr w14:paraId="4A437081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A9827DE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8815DC0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0.4194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A36D8C2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0.7033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DE8CD2B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0.9253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BD1FE6C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0.9924</w:t>
            </w:r>
          </w:p>
        </w:tc>
      </w:tr>
      <w:tr w14:paraId="0BFA2986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left w:w="108" w:type="dxa"/>
            <w:right w:w="108" w:type="dxa"/>
          </w:tblCellMar>
        </w:tblPrEx>
        <w:trPr>
          <w:trHeight w:val="0" w:hRule="atLeast"/>
        </w:trPr>
        <w:tc>
          <w:tcPr>
            <w:tcW w:w="124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95CA9DC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60%</w:t>
            </w:r>
          </w:p>
        </w:tc>
        <w:tc>
          <w:tcPr>
            <w:tcW w:w="175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EAF145C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0.5712</w:t>
            </w:r>
          </w:p>
        </w:tc>
        <w:tc>
          <w:tcPr>
            <w:tcW w:w="175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29024C3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0.8515</w:t>
            </w:r>
          </w:p>
        </w:tc>
        <w:tc>
          <w:tcPr>
            <w:tcW w:w="188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77129DF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0.9737</w:t>
            </w:r>
          </w:p>
        </w:tc>
        <w:tc>
          <w:tcPr>
            <w:tcW w:w="188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422B9D3">
            <w:pPr>
              <w:keepNext w:val="0"/>
              <w:keepLines w:val="0"/>
              <w:widowControl/>
              <w:suppressLineNumbers w:val="0"/>
              <w:snapToGrid w:val="0"/>
              <w:jc w:val="center"/>
              <w:rPr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0.9973</w:t>
            </w:r>
          </w:p>
        </w:tc>
      </w:tr>
    </w:tbl>
    <w:p w14:paraId="70BEEAFB"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48FD19C9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表 2-13 进一步说明 Top-30 候选区域设计的有效性。全量数据中，20% 前缀下 Top-30 命中率达到 0.9794，40% 和 60% 前缀下分别达到 0.9924 和 0.9973。真实终点大多数都被包含在候选区域内，后续偏移回归可以在较可靠的候选区域中完成终点修正。</w:t>
      </w:r>
    </w:p>
    <w:p w14:paraId="1FB99885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综合样本实验和全量实验，最终模型 ClusterTop30OffsetXGBoostDeep 具有更稳定的预测效果。它相较于直接经纬度回归的 XGBoostDeep，在 40% 和 60% 前缀下优势更明显；在 20% 前缀下提升较小，但仍保持最低平均误差。实验结果说明，终点预测任务不仅可以看作普通回归问题，也可以利用终点空间聚类结构，将预测过程拆分为候选区域判断和类内偏移回归两个阶段。</w:t>
      </w:r>
    </w:p>
    <w:p w14:paraId="58979669">
      <w:pPr>
        <w:pStyle w:val="3"/>
        <w:snapToGrid w:val="0"/>
        <w:spacing w:after="120" w:line="360" w:lineRule="auto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 w:eastAsia="黑体"/>
          <w:sz w:val="30"/>
          <w:szCs w:val="30"/>
        </w:rPr>
        <w:t>3</w:t>
      </w:r>
      <w:r>
        <w:rPr>
          <w:rFonts w:ascii="Times New Roman" w:hAnsi="Times New Roman" w:eastAsia="黑体"/>
          <w:sz w:val="30"/>
          <w:szCs w:val="30"/>
        </w:rPr>
        <w:t>. 课程的学习体会与建议</w:t>
      </w:r>
    </w:p>
    <w:p w14:paraId="5B3F3177">
      <w:pPr>
        <w:pStyle w:val="4"/>
        <w:snapToGrid w:val="0"/>
        <w:spacing w:before="93" w:beforeLines="30" w:after="0" w:line="360" w:lineRule="auto"/>
        <w:rPr>
          <w:rFonts w:hint="eastAsia"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szCs w:val="28"/>
        </w:rPr>
        <w:t>3.1 程序中存在的问题与局限性</w:t>
      </w:r>
    </w:p>
    <w:p w14:paraId="1B4CEFD9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本实验完成了从数据清洗、特征构造、模型比较到全量验证的流程。最终采用的 ClusterTop30OffsetXGBoostDeep 在样本实验和全量实验中都优于当前点基线，也优于直接回归的 XGBoostDeep。但这个结果并不说明程序已经解决了终点预测中的所有问题。由于出租车轨迹本身存在不确定性，模型仍然有一些明显限制。</w:t>
      </w:r>
    </w:p>
    <w:p w14:paraId="10B896DA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数据清洗部分主要依靠规则判断。程序通过 MISSING_DATA 字段删除缺失轨迹，并用 Porto 附近的经纬度范围过滤异常 GPS 点，同时删除轨迹点数少于 10 的样本。这些规则可以去掉明显无效的数据，但不能处理所有异常情况。例如，有些轨迹虽然坐标没有越界，但可能存在 GPS 跳点、短时间大幅移动、路径绕行或中途截断。</w:t>
      </w:r>
    </w:p>
    <w:p w14:paraId="50054197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特征工程主要基于轨迹本身，没有引入外部地理信息。程序提取了起点、当前点、前缀距离、平均速度、方向角、轨迹弯曲度和分段距离等特征，能够描述车辆已经走过的路径。但出租车目的地往往和道路结构、商业区、住宅区、交通枢纽等城市功能区域有关。当前程序没有使用道路网络、天气、节假日和实时交通信息。</w:t>
      </w:r>
    </w:p>
    <w:p w14:paraId="3F455FED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评价指标也有一定局限。实验使用预测终点和真实终点之间的 Haversine 距离作为误差指标，适合衡量经纬度点之间的空间距离。但出租车实际行驶不是直线移动，而是受道路网络限制。两个点之间的直线距离较短，并不一定代表实际行驶距离或时间也短。后续可以加入道路最短路径距离、预计行驶时间误差等指标。</w:t>
      </w:r>
    </w:p>
    <w:p w14:paraId="184396C8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最终模型中的部分参数仍然带有经验性。实验中使用 KMeans 将终点划分为 50 个聚类区域，并保留 Top-30 候选聚类。但聚类数和候选数量并不是理论上唯一最优的选择。如果换成其他城市、其他时间范围的数据，或者清洗规则发生变化，这些参数可能需要重新实验。当前程序还没有实现自动搜索最优聚类数和候选数量。</w:t>
      </w:r>
    </w:p>
    <w:p w14:paraId="7A583A4A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模型在短前缀场景下仍然不够强。20% 前缀时，车辆刚开始行驶，目的地信息不足。全量实验中，ClusterTop30OffsetXGBoostDeep 相比 XGBoostDeep 的提升只有 0.03%，说明聚类方法在早期预测阶段优势并不明显。这个结果也说明，仅靠前 20% 轨迹点，很难稳定判断真实终点。模型在 40% 和 60% 前缀下表现更好，主要是因为车辆方向和目的地区域逐渐变得明确。</w:t>
      </w:r>
    </w:p>
    <w:p w14:paraId="44BD2AF5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ClusterTop30OffsetXGBoostDeep 不只是训练一个回归模型，而是包含终点聚类、聚类分类、Top-30 候选区域选择和类内偏移回归。全量数据规模较大时，训练时间和内存占用都会增加。当前程序仅适合离线分析，无法用于实时预测。</w:t>
      </w:r>
    </w:p>
    <w:p w14:paraId="6618B4A1">
      <w:pPr>
        <w:pStyle w:val="4"/>
        <w:snapToGrid w:val="0"/>
        <w:spacing w:before="93" w:beforeLines="30" w:after="0" w:line="360" w:lineRule="auto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szCs w:val="28"/>
        </w:rPr>
        <w:t>3</w:t>
      </w:r>
      <w:r>
        <w:rPr>
          <w:rFonts w:ascii="Times New Roman" w:hAnsi="Times New Roman" w:eastAsia="黑体"/>
          <w:sz w:val="28"/>
          <w:szCs w:val="28"/>
        </w:rPr>
        <w:t>.</w:t>
      </w:r>
      <w:r>
        <w:rPr>
          <w:rFonts w:hint="eastAsia" w:ascii="Times New Roman" w:hAnsi="Times New Roman" w:eastAsia="黑体"/>
          <w:sz w:val="28"/>
          <w:szCs w:val="28"/>
        </w:rPr>
        <w:t>2</w:t>
      </w:r>
      <w:r>
        <w:rPr>
          <w:rFonts w:ascii="Times New Roman" w:hAnsi="Times New Roman" w:eastAsia="黑体"/>
          <w:sz w:val="28"/>
          <w:szCs w:val="28"/>
        </w:rPr>
        <w:t xml:space="preserve"> 有关课程的学习体会</w:t>
      </w:r>
    </w:p>
    <w:p w14:paraId="6C57742E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之前参加过多次数学建模比赛，对一般的建模流程有一定了解。数学建模通常会从问题分析、数据处理、模型建立、结果检验和论文写作几个环节展开。这门课让我在原有建模经验的基础上，进一步接触了数据挖掘中的具体方法，尤其是机器学习模型、特征工程和评价指标的选择。</w:t>
      </w:r>
    </w:p>
    <w:p w14:paraId="08F6E7F9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数据挖掘并不是简单地调用模型。一个完整任务通常要经过数据理解、数据清洗、特征工程、模型训练和结果评价。本次出租车终点预测中，真正影响结果的不只是模型，还包括轨迹清洗、前缀构造和特征设计。原始轨迹不能直接用于训练，必须先解析 POLYLINE 字段，再根据轨迹长度、坐标范围和缺失情况进行筛选。</w:t>
      </w:r>
    </w:p>
    <w:p w14:paraId="5D1DB2FC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KNN、随机森林、ExtraTrees、XGBoost 等模型都可以用于预测，但它们的适用情况不同。KNN 更依赖特征空间中的距离关系，树模型更适合处理非线性特征，XGBoost 在多组实验中表现更稳定。通过这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几</w:t>
      </w:r>
      <w:r>
        <w:rPr>
          <w:rFonts w:hint="eastAsia" w:ascii="Times New Roman" w:hAnsi="Times New Roman" w:eastAsia="宋体" w:cs="Times New Roman"/>
          <w:sz w:val="24"/>
          <w:szCs w:val="24"/>
        </w:rPr>
        <w:t>次实验，可以更直观地看到不同模型在同一组特征上的差异。</w:t>
      </w:r>
    </w:p>
    <w:p w14:paraId="50219748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课上提到的熵、信息增益和基尼指数，本质上都和“如何选择更有效的划分”有关。理解这些概念后，再看随机森林和 XGBoost，会更容易理解树模型为什么能从多维特征中学习规律。模型不是直接记住结果，而是在不断寻找更能区分样本的特征划分。</w:t>
      </w:r>
    </w:p>
    <w:p w14:paraId="48A6A390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KMeans 在本次实验中也有比较实际的作用。它不只是用来画聚类图，而是被用于划分终点区域。先聚类，再做候选区域预测和类内偏移回归，可以把一个复杂的终点回归问题拆成两个更清楚的步骤。这也说明数据挖掘中的算法不是孤立使用的，不同方法可以结合起来解决一个具体问题。</w:t>
      </w:r>
    </w:p>
    <w:p w14:paraId="5AB4B4A9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评价指标的选择也很重要。信用卡欺诈任务不能只看 Accuracy，因为少数类样本很容易被忽略；租房价格和出租车费预测更适合使用 MAE、RMSE 等指标；本次终点预测则使用距离误差评价模型效果。指标必须和任务目标一致，否则结果看起来好，但不一定有实际意义。</w:t>
      </w:r>
    </w:p>
    <w:p w14:paraId="66555E9A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数据挖掘更重视完整流程和结果解释。模型效果提升只是结果之一，更重要的是说明数据为什么要这样处理、特征为什么这样设计、最后为什么采用这个模型。本次课程中接触到的多个实验都体现了这一点：实验结论不能只看最终指标，还要和前面的数据分析、特征工程、模型对比对应起来。</w:t>
      </w:r>
    </w:p>
    <w:p w14:paraId="6434729F">
      <w:pPr>
        <w:pStyle w:val="4"/>
        <w:snapToGrid w:val="0"/>
        <w:spacing w:before="93" w:beforeLines="30" w:after="0" w:line="360" w:lineRule="auto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szCs w:val="28"/>
        </w:rPr>
        <w:t>3</w:t>
      </w:r>
      <w:r>
        <w:rPr>
          <w:rFonts w:ascii="Times New Roman" w:hAnsi="Times New Roman" w:eastAsia="黑体"/>
          <w:sz w:val="28"/>
          <w:szCs w:val="28"/>
        </w:rPr>
        <w:t>.</w:t>
      </w:r>
      <w:r>
        <w:rPr>
          <w:rFonts w:hint="eastAsia" w:ascii="Times New Roman" w:hAnsi="Times New Roman" w:eastAsia="黑体"/>
          <w:sz w:val="28"/>
          <w:szCs w:val="28"/>
        </w:rPr>
        <w:t>3</w:t>
      </w:r>
      <w:r>
        <w:rPr>
          <w:rFonts w:ascii="Times New Roman" w:hAnsi="Times New Roman" w:eastAsia="黑体"/>
          <w:sz w:val="28"/>
          <w:szCs w:val="28"/>
        </w:rPr>
        <w:t xml:space="preserve"> 有关课程的意见和</w:t>
      </w:r>
      <w:r>
        <w:rPr>
          <w:rFonts w:hint="eastAsia" w:ascii="Times New Roman" w:hAnsi="Times New Roman" w:eastAsia="黑体"/>
          <w:sz w:val="28"/>
          <w:szCs w:val="28"/>
        </w:rPr>
        <w:t>建议</w:t>
      </w:r>
    </w:p>
    <w:p w14:paraId="334ECB9F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课程实验安排比较贴近实际数据任务。实验从数据清洗、数据分析、特征构造、模型训练到结果评价，流程比较完整。几次实验做下来，对数据挖掘的整体过程会更清楚，也能看出数据处理和特征设计对模型结果的影响。</w:t>
      </w:r>
    </w:p>
    <w:p w14:paraId="1266ECD5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开课时提到课程会有研讨环节，当时以为需要上台汇报，后来发现没有真正安排课堂展示，也算虚惊一场。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一个学期</w:t>
      </w:r>
      <w:r>
        <w:rPr>
          <w:rFonts w:hint="eastAsia" w:ascii="Times New Roman" w:hAnsi="Times New Roman" w:eastAsia="宋体" w:cs="Times New Roman"/>
          <w:sz w:val="24"/>
          <w:szCs w:val="24"/>
        </w:rPr>
        <w:t>可以抽一节课做一次完</w:t>
      </w:r>
      <w:bookmarkStart w:id="0" w:name="_GoBack"/>
      <w:bookmarkEnd w:id="0"/>
      <w:r>
        <w:rPr>
          <w:rFonts w:hint="eastAsia" w:ascii="Times New Roman" w:hAnsi="Times New Roman" w:eastAsia="宋体" w:cs="Times New Roman"/>
          <w:sz w:val="24"/>
          <w:szCs w:val="24"/>
        </w:rPr>
        <w:t>整的数据挖掘案例讲解，从数据理解、清洗、特征工程、模型训练到结果分析完整走一遍。</w:t>
      </w:r>
    </w:p>
    <w:p w14:paraId="201907E3"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实验部分可以提供统一的项目模板，例如数据目录、代码目录、输出目录和运行脚本。这样在完成较复杂的实验时，文件结构会更清楚，结果也更容易复现和整理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。</w:t>
      </w:r>
    </w:p>
    <w:p w14:paraId="35550D7D">
      <w:pPr>
        <w:adjustRightInd w:val="0"/>
        <w:snapToGrid w:val="0"/>
        <w:spacing w:line="360" w:lineRule="auto"/>
        <w:ind w:firstLine="482" w:firstLineChars="200"/>
        <w:rPr>
          <w:rFonts w:hint="eastAsia" w:ascii="Times New Roman" w:hAnsi="Times New Roman" w:eastAsia="黑体"/>
          <w:b/>
          <w:sz w:val="24"/>
          <w:szCs w:val="24"/>
        </w:rPr>
      </w:pPr>
    </w:p>
    <w:p w14:paraId="3D0A8BED">
      <w:pPr>
        <w:adjustRightInd w:val="0"/>
        <w:snapToGrid w:val="0"/>
        <w:spacing w:line="360" w:lineRule="auto"/>
        <w:ind w:firstLine="482" w:firstLineChars="200"/>
        <w:rPr>
          <w:rFonts w:hint="eastAsia" w:ascii="Times New Roman" w:hAnsi="Times New Roman" w:eastAsia="宋体"/>
          <w:sz w:val="24"/>
          <w:szCs w:val="24"/>
          <w:lang w:eastAsia="zh-CN"/>
        </w:rPr>
      </w:pPr>
      <w:r>
        <w:rPr>
          <w:rFonts w:ascii="Times New Roman" w:hAnsi="Times New Roman" w:eastAsia="黑体"/>
          <w:b/>
          <w:sz w:val="24"/>
          <w:szCs w:val="24"/>
        </w:rPr>
        <w:t>参考文献：</w:t>
      </w:r>
    </w:p>
    <w:p w14:paraId="04C51C5D">
      <w:pPr>
        <w:numPr>
          <w:ilvl w:val="0"/>
          <w:numId w:val="2"/>
        </w:numPr>
        <w:ind w:left="284" w:hanging="284"/>
        <w:rPr>
          <w:rFonts w:hint="eastAsia" w:ascii="Times New Roman" w:hAnsi="Times New Roman"/>
          <w:sz w:val="18"/>
          <w:szCs w:val="18"/>
        </w:rPr>
      </w:pPr>
      <w:r>
        <w:rPr>
          <w:rFonts w:hint="eastAsia" w:ascii="Times New Roman" w:hAnsi="Times New Roman"/>
          <w:sz w:val="18"/>
          <w:szCs w:val="18"/>
        </w:rPr>
        <w:t>Chen T, Guestrin C. XGBoost: A scalable tree boosting system[C]//Proceedings of the 22nd ACM SIGKDD International Conference on Knowledge Discovery and Data Mining. 2016: 785-794.</w:t>
      </w:r>
    </w:p>
    <w:p w14:paraId="79F8B67E">
      <w:pPr>
        <w:numPr>
          <w:ilvl w:val="0"/>
          <w:numId w:val="2"/>
        </w:numPr>
        <w:ind w:left="284" w:hanging="284"/>
        <w:rPr>
          <w:rFonts w:hint="eastAsia" w:ascii="Times New Roman" w:hAnsi="Times New Roman"/>
          <w:sz w:val="18"/>
          <w:szCs w:val="18"/>
        </w:rPr>
      </w:pPr>
      <w:r>
        <w:rPr>
          <w:rFonts w:hint="eastAsia" w:ascii="Times New Roman" w:hAnsi="Times New Roman"/>
          <w:sz w:val="18"/>
          <w:szCs w:val="18"/>
        </w:rPr>
        <w:t>Breiman L. Random forests[J]. Machine Learning, 2001, 45(1): 5-32.</w:t>
      </w:r>
    </w:p>
    <w:p w14:paraId="7FBFDE6E">
      <w:pPr>
        <w:numPr>
          <w:ilvl w:val="0"/>
          <w:numId w:val="2"/>
        </w:numPr>
        <w:ind w:left="284" w:hanging="284"/>
        <w:rPr>
          <w:rFonts w:hint="eastAsia" w:ascii="Times New Roman" w:hAnsi="Times New Roman"/>
          <w:sz w:val="18"/>
          <w:szCs w:val="18"/>
        </w:rPr>
      </w:pPr>
      <w:r>
        <w:rPr>
          <w:rFonts w:hint="eastAsia" w:ascii="Times New Roman" w:hAnsi="Times New Roman"/>
          <w:sz w:val="18"/>
          <w:szCs w:val="18"/>
        </w:rPr>
        <w:t>Cover T M, Hart P E. Nearest neighbor pattern classification[J]. IEEE Transactions on Information Theory, 1967, 13(1): 21-27.</w:t>
      </w:r>
    </w:p>
    <w:p w14:paraId="5F9F1F25">
      <w:pPr>
        <w:numPr>
          <w:ilvl w:val="0"/>
          <w:numId w:val="2"/>
        </w:numPr>
        <w:ind w:left="284" w:hanging="284"/>
        <w:rPr>
          <w:rFonts w:hint="eastAsia" w:ascii="Times New Roman" w:hAnsi="Times New Roman"/>
          <w:sz w:val="18"/>
          <w:szCs w:val="18"/>
        </w:rPr>
      </w:pPr>
      <w:r>
        <w:rPr>
          <w:rFonts w:hint="eastAsia" w:ascii="Times New Roman" w:hAnsi="Times New Roman"/>
          <w:sz w:val="18"/>
          <w:szCs w:val="18"/>
        </w:rPr>
        <w:t>Geurts P, Ernst D, Wehenkel L. Extremely randomized trees[J]. Machine Learning, 2006, 63(1): 3-42.</w:t>
      </w:r>
    </w:p>
    <w:p w14:paraId="30C6E8FE">
      <w:pPr>
        <w:numPr>
          <w:ilvl w:val="0"/>
          <w:numId w:val="2"/>
        </w:numPr>
        <w:ind w:left="284" w:hanging="284"/>
        <w:rPr>
          <w:rFonts w:hint="eastAsia" w:ascii="Times New Roman" w:hAnsi="Times New Roman"/>
          <w:sz w:val="18"/>
          <w:szCs w:val="18"/>
        </w:rPr>
      </w:pPr>
      <w:r>
        <w:rPr>
          <w:rFonts w:hint="eastAsia" w:ascii="Times New Roman" w:hAnsi="Times New Roman"/>
          <w:sz w:val="18"/>
          <w:szCs w:val="18"/>
        </w:rPr>
        <w:t>MacQueen J. Some methods for classification and analysis of multivariate observations[C]//Proceedings of the Fifth Berkeley Symposium on Mathematical Statistics and Probability. 1967, 1: 281-297.</w:t>
      </w:r>
    </w:p>
    <w:p w14:paraId="28159A51">
      <w:pPr>
        <w:numPr>
          <w:ilvl w:val="0"/>
          <w:numId w:val="2"/>
        </w:numPr>
        <w:ind w:left="284" w:hanging="284"/>
        <w:rPr>
          <w:rFonts w:hint="eastAsia" w:ascii="Times New Roman" w:hAnsi="Times New Roman"/>
          <w:sz w:val="18"/>
          <w:szCs w:val="18"/>
        </w:rPr>
      </w:pPr>
      <w:r>
        <w:rPr>
          <w:rFonts w:hint="eastAsia" w:ascii="Times New Roman" w:hAnsi="Times New Roman"/>
          <w:sz w:val="18"/>
          <w:szCs w:val="18"/>
        </w:rPr>
        <w:t>Pedregosa F, Varoquaux G, Gramfort A, et al. Scikit-learn: Machine learning in Python[J]. Journal of Machine Learning Research, 2011, 12: 2825-2830.</w:t>
      </w:r>
    </w:p>
    <w:p w14:paraId="4382B952">
      <w:pPr>
        <w:numPr>
          <w:ilvl w:val="0"/>
          <w:numId w:val="2"/>
        </w:numPr>
        <w:ind w:left="284" w:hanging="284"/>
        <w:rPr>
          <w:rFonts w:hint="eastAsia" w:ascii="Times New Roman" w:hAnsi="Times New Roman"/>
          <w:sz w:val="18"/>
          <w:szCs w:val="18"/>
        </w:rPr>
      </w:pPr>
      <w:r>
        <w:rPr>
          <w:rFonts w:hint="eastAsia" w:ascii="Times New Roman" w:hAnsi="Times New Roman"/>
          <w:sz w:val="18"/>
          <w:szCs w:val="18"/>
        </w:rPr>
        <w:t>Monreale A, Pinelli F, Trasarti R, Giannotti F. WhereNext: a location predictor on trajectory pattern mining[C]//Proceedings of the 15th ACM SIGKDD International Conference on Knowledge Discovery and Data Mining. 2009: 637-646.</w:t>
      </w:r>
    </w:p>
    <w:p w14:paraId="6571DA08">
      <w:pPr>
        <w:numPr>
          <w:ilvl w:val="0"/>
          <w:numId w:val="2"/>
        </w:numPr>
        <w:ind w:left="284" w:hanging="284"/>
        <w:rPr>
          <w:rFonts w:hint="eastAsia" w:ascii="Times New Roman" w:hAnsi="Times New Roman"/>
          <w:sz w:val="18"/>
          <w:szCs w:val="18"/>
        </w:rPr>
      </w:pPr>
      <w:r>
        <w:rPr>
          <w:rFonts w:hint="eastAsia" w:ascii="Times New Roman" w:hAnsi="Times New Roman"/>
          <w:sz w:val="18"/>
          <w:szCs w:val="18"/>
        </w:rPr>
        <w:t>Yuan J, Zheng Y, Zhang C, et al. T-Drive: driving directions based on taxi trajectories[C]//Proceedings of the 18th SIGSPATIAL International Conference on Advances in Geographic Information Systems. 2010: 99-108.</w:t>
      </w:r>
    </w:p>
    <w:p w14:paraId="0DDA4ED3">
      <w:pPr>
        <w:numPr>
          <w:ilvl w:val="0"/>
          <w:numId w:val="2"/>
        </w:numPr>
        <w:ind w:left="284" w:hanging="284"/>
        <w:rPr>
          <w:rFonts w:hint="eastAsia" w:ascii="Times New Roman" w:hAnsi="Times New Roman"/>
          <w:sz w:val="18"/>
          <w:szCs w:val="18"/>
        </w:rPr>
      </w:pPr>
      <w:r>
        <w:rPr>
          <w:rFonts w:hint="eastAsia" w:ascii="Times New Roman" w:hAnsi="Times New Roman"/>
          <w:sz w:val="18"/>
          <w:szCs w:val="18"/>
        </w:rPr>
        <w:t>Besse P C, Guillouet B, Loubes J M, Royer F. Destination prediction by trajectory distribution-based model[J]. IEEE Transactions on Intelligent Transportation Systems, 2018, 19(8): 2470-2481.</w:t>
      </w:r>
    </w:p>
    <w:p w14:paraId="10CCAF8F">
      <w:pPr>
        <w:numPr>
          <w:ilvl w:val="0"/>
          <w:numId w:val="2"/>
        </w:numPr>
        <w:ind w:left="284" w:hanging="284"/>
        <w:rPr>
          <w:rFonts w:hint="eastAsia" w:ascii="Times New Roman" w:hAnsi="Times New Roman"/>
          <w:sz w:val="18"/>
          <w:szCs w:val="18"/>
        </w:rPr>
      </w:pPr>
      <w:r>
        <w:rPr>
          <w:rFonts w:hint="eastAsia" w:ascii="Times New Roman" w:hAnsi="Times New Roman"/>
          <w:sz w:val="18"/>
          <w:szCs w:val="18"/>
        </w:rPr>
        <w:t>Rossi A, Barlacchi G, Bianchini M, Lepri B. Modelling taxi drivers' behaviour for the next destination prediction[J]. IEEE Transactions on Intelligent Transportation Systems, 2020, 21(7): 2980-2989.</w:t>
      </w:r>
    </w:p>
    <w:p w14:paraId="616B8CA0">
      <w:pPr>
        <w:numPr>
          <w:ilvl w:val="0"/>
          <w:numId w:val="2"/>
        </w:numPr>
        <w:ind w:left="284" w:hanging="284"/>
        <w:rPr>
          <w:rFonts w:hint="eastAsia" w:ascii="Times New Roman" w:hAnsi="Times New Roman"/>
          <w:sz w:val="18"/>
          <w:szCs w:val="18"/>
        </w:rPr>
      </w:pPr>
      <w:r>
        <w:rPr>
          <w:rFonts w:hint="eastAsia" w:ascii="Times New Roman" w:hAnsi="Times New Roman"/>
          <w:sz w:val="18"/>
          <w:szCs w:val="18"/>
        </w:rPr>
        <w:t>Zhang L, Zhang G, Liang Z, Ozioko E F. Multi-features taxi destination prediction with frequency domain processing[J]. PLOS ONE, 2018, 13(3): e0194629.</w:t>
      </w:r>
    </w:p>
    <w:p w14:paraId="02238CBB">
      <w:pPr>
        <w:numPr>
          <w:ilvl w:val="0"/>
          <w:numId w:val="2"/>
        </w:numPr>
        <w:ind w:left="284" w:hanging="284"/>
        <w:rPr>
          <w:rFonts w:ascii="Times New Roman" w:hAnsi="Times New Roman"/>
          <w:sz w:val="18"/>
          <w:szCs w:val="18"/>
        </w:rPr>
      </w:pPr>
      <w:r>
        <w:rPr>
          <w:rFonts w:hint="eastAsia" w:ascii="Times New Roman" w:hAnsi="Times New Roman"/>
          <w:sz w:val="18"/>
          <w:szCs w:val="18"/>
        </w:rPr>
        <w:t>Tang J, Liang J, Yu T, Xiong Y, Zeng G. Trip destination prediction based on a deep integration network by fusing multiple features from taxi trajectories[J]. IET Intelligent Transport Systems, 2021, 15(9): 1131-1141.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1" w:usb1="080E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MS Mincho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scadia Code">
    <w:panose1 w:val="020B0609020000020004"/>
    <w:charset w:val="00"/>
    <w:family w:val="auto"/>
    <w:pitch w:val="default"/>
    <w:sig w:usb0="A10002FF" w:usb1="4000F9FB" w:usb2="00040000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B308B9"/>
    <w:multiLevelType w:val="multilevel"/>
    <w:tmpl w:val="21B308B9"/>
    <w:lvl w:ilvl="0" w:tentative="0">
      <w:start w:val="1"/>
      <w:numFmt w:val="decimal"/>
      <w:lvlText w:val="[%1] "/>
      <w:lvlJc w:val="left"/>
      <w:pPr>
        <w:ind w:left="704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1D3BA2B"/>
    <w:multiLevelType w:val="singleLevel"/>
    <w:tmpl w:val="51D3BA2B"/>
    <w:lvl w:ilvl="0" w:tentative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732"/>
    <w:rsid w:val="00021FDB"/>
    <w:rsid w:val="0005355F"/>
    <w:rsid w:val="00055033"/>
    <w:rsid w:val="00090653"/>
    <w:rsid w:val="000A3663"/>
    <w:rsid w:val="000B2A30"/>
    <w:rsid w:val="000B39D8"/>
    <w:rsid w:val="000E080F"/>
    <w:rsid w:val="0010026C"/>
    <w:rsid w:val="00115CB5"/>
    <w:rsid w:val="00121D8D"/>
    <w:rsid w:val="00127F04"/>
    <w:rsid w:val="0013597F"/>
    <w:rsid w:val="00146E34"/>
    <w:rsid w:val="0016107C"/>
    <w:rsid w:val="0016757A"/>
    <w:rsid w:val="00172B07"/>
    <w:rsid w:val="00173E08"/>
    <w:rsid w:val="00173E0F"/>
    <w:rsid w:val="001A492A"/>
    <w:rsid w:val="001A6475"/>
    <w:rsid w:val="001B1947"/>
    <w:rsid w:val="001B46A3"/>
    <w:rsid w:val="001B6425"/>
    <w:rsid w:val="001C4782"/>
    <w:rsid w:val="001C76C0"/>
    <w:rsid w:val="001D2DBD"/>
    <w:rsid w:val="001D5D59"/>
    <w:rsid w:val="001E03F1"/>
    <w:rsid w:val="001F3E44"/>
    <w:rsid w:val="001F47A1"/>
    <w:rsid w:val="002025E6"/>
    <w:rsid w:val="0021135A"/>
    <w:rsid w:val="0021753A"/>
    <w:rsid w:val="002370E6"/>
    <w:rsid w:val="00262D7B"/>
    <w:rsid w:val="00263257"/>
    <w:rsid w:val="002926B7"/>
    <w:rsid w:val="002A0BA2"/>
    <w:rsid w:val="002B6A53"/>
    <w:rsid w:val="002C421A"/>
    <w:rsid w:val="002F12E3"/>
    <w:rsid w:val="002F1B76"/>
    <w:rsid w:val="002F714C"/>
    <w:rsid w:val="00314CFB"/>
    <w:rsid w:val="0032490F"/>
    <w:rsid w:val="00325D64"/>
    <w:rsid w:val="00335A87"/>
    <w:rsid w:val="003447EA"/>
    <w:rsid w:val="00344D0B"/>
    <w:rsid w:val="00347F7C"/>
    <w:rsid w:val="003573E1"/>
    <w:rsid w:val="003667A4"/>
    <w:rsid w:val="0036684D"/>
    <w:rsid w:val="003672E9"/>
    <w:rsid w:val="00374786"/>
    <w:rsid w:val="00377C72"/>
    <w:rsid w:val="003911CD"/>
    <w:rsid w:val="003912D5"/>
    <w:rsid w:val="003A3CD9"/>
    <w:rsid w:val="003B2AF9"/>
    <w:rsid w:val="003E6335"/>
    <w:rsid w:val="003E7446"/>
    <w:rsid w:val="003E7D97"/>
    <w:rsid w:val="003F3AB9"/>
    <w:rsid w:val="003F7CB6"/>
    <w:rsid w:val="00401D36"/>
    <w:rsid w:val="00402615"/>
    <w:rsid w:val="00415AA6"/>
    <w:rsid w:val="00417821"/>
    <w:rsid w:val="00422A39"/>
    <w:rsid w:val="00423E6E"/>
    <w:rsid w:val="004301D8"/>
    <w:rsid w:val="00436732"/>
    <w:rsid w:val="00441D43"/>
    <w:rsid w:val="00442158"/>
    <w:rsid w:val="00456513"/>
    <w:rsid w:val="00460E46"/>
    <w:rsid w:val="00474540"/>
    <w:rsid w:val="004862A8"/>
    <w:rsid w:val="00492F66"/>
    <w:rsid w:val="00493007"/>
    <w:rsid w:val="004A569B"/>
    <w:rsid w:val="004A594E"/>
    <w:rsid w:val="004A785D"/>
    <w:rsid w:val="004C5023"/>
    <w:rsid w:val="004D6A2A"/>
    <w:rsid w:val="004E702F"/>
    <w:rsid w:val="004F4D92"/>
    <w:rsid w:val="004F56BA"/>
    <w:rsid w:val="00500331"/>
    <w:rsid w:val="00524504"/>
    <w:rsid w:val="00525F7C"/>
    <w:rsid w:val="00537CB0"/>
    <w:rsid w:val="00537D0D"/>
    <w:rsid w:val="00556796"/>
    <w:rsid w:val="005673C2"/>
    <w:rsid w:val="00577814"/>
    <w:rsid w:val="00581534"/>
    <w:rsid w:val="00584C99"/>
    <w:rsid w:val="00587993"/>
    <w:rsid w:val="005B0F88"/>
    <w:rsid w:val="005B41AB"/>
    <w:rsid w:val="005C5C35"/>
    <w:rsid w:val="005D2F56"/>
    <w:rsid w:val="005E20F4"/>
    <w:rsid w:val="005E2A3C"/>
    <w:rsid w:val="005F299B"/>
    <w:rsid w:val="005F79E0"/>
    <w:rsid w:val="0060012C"/>
    <w:rsid w:val="006220C9"/>
    <w:rsid w:val="006254E0"/>
    <w:rsid w:val="00633186"/>
    <w:rsid w:val="006704B4"/>
    <w:rsid w:val="0067288B"/>
    <w:rsid w:val="00686598"/>
    <w:rsid w:val="00694397"/>
    <w:rsid w:val="006960A9"/>
    <w:rsid w:val="006A21FF"/>
    <w:rsid w:val="006A46B0"/>
    <w:rsid w:val="006A6F8D"/>
    <w:rsid w:val="006C152E"/>
    <w:rsid w:val="006F3EAD"/>
    <w:rsid w:val="0071079A"/>
    <w:rsid w:val="007201D5"/>
    <w:rsid w:val="007206E5"/>
    <w:rsid w:val="007242C2"/>
    <w:rsid w:val="007319C4"/>
    <w:rsid w:val="00736D61"/>
    <w:rsid w:val="00751984"/>
    <w:rsid w:val="00753F03"/>
    <w:rsid w:val="00756068"/>
    <w:rsid w:val="0076210D"/>
    <w:rsid w:val="00774809"/>
    <w:rsid w:val="007825BB"/>
    <w:rsid w:val="00785A13"/>
    <w:rsid w:val="00791407"/>
    <w:rsid w:val="00796215"/>
    <w:rsid w:val="007A41F0"/>
    <w:rsid w:val="007B1A7F"/>
    <w:rsid w:val="007B20AF"/>
    <w:rsid w:val="007C6D61"/>
    <w:rsid w:val="007C7456"/>
    <w:rsid w:val="007D1ED6"/>
    <w:rsid w:val="007D5E59"/>
    <w:rsid w:val="007E4922"/>
    <w:rsid w:val="0080449E"/>
    <w:rsid w:val="008050C2"/>
    <w:rsid w:val="00805E75"/>
    <w:rsid w:val="00822BF6"/>
    <w:rsid w:val="0082446E"/>
    <w:rsid w:val="008246EF"/>
    <w:rsid w:val="00824B28"/>
    <w:rsid w:val="00832D79"/>
    <w:rsid w:val="00834B68"/>
    <w:rsid w:val="0084268E"/>
    <w:rsid w:val="00846857"/>
    <w:rsid w:val="00850233"/>
    <w:rsid w:val="00873655"/>
    <w:rsid w:val="00886865"/>
    <w:rsid w:val="00893EDC"/>
    <w:rsid w:val="00894BBB"/>
    <w:rsid w:val="008B4282"/>
    <w:rsid w:val="008B4A1B"/>
    <w:rsid w:val="008B6380"/>
    <w:rsid w:val="008D3592"/>
    <w:rsid w:val="008E787B"/>
    <w:rsid w:val="008F180B"/>
    <w:rsid w:val="008F4598"/>
    <w:rsid w:val="009057AA"/>
    <w:rsid w:val="00915752"/>
    <w:rsid w:val="00921307"/>
    <w:rsid w:val="009276FE"/>
    <w:rsid w:val="0095256E"/>
    <w:rsid w:val="00952E3E"/>
    <w:rsid w:val="0097571B"/>
    <w:rsid w:val="009C2EAB"/>
    <w:rsid w:val="009C3047"/>
    <w:rsid w:val="009C401F"/>
    <w:rsid w:val="009E3171"/>
    <w:rsid w:val="009E4E82"/>
    <w:rsid w:val="009E67BC"/>
    <w:rsid w:val="00A027CF"/>
    <w:rsid w:val="00A062AC"/>
    <w:rsid w:val="00A24650"/>
    <w:rsid w:val="00A34758"/>
    <w:rsid w:val="00A4609E"/>
    <w:rsid w:val="00A55AC4"/>
    <w:rsid w:val="00A57404"/>
    <w:rsid w:val="00A66BBD"/>
    <w:rsid w:val="00A76009"/>
    <w:rsid w:val="00A85FF7"/>
    <w:rsid w:val="00A92B20"/>
    <w:rsid w:val="00A939C0"/>
    <w:rsid w:val="00A96C65"/>
    <w:rsid w:val="00AA14BB"/>
    <w:rsid w:val="00AA3E0F"/>
    <w:rsid w:val="00AA3FEB"/>
    <w:rsid w:val="00AB0975"/>
    <w:rsid w:val="00AB5B88"/>
    <w:rsid w:val="00AE2516"/>
    <w:rsid w:val="00AE6F74"/>
    <w:rsid w:val="00AF15C2"/>
    <w:rsid w:val="00AF350E"/>
    <w:rsid w:val="00AF68C2"/>
    <w:rsid w:val="00B014A5"/>
    <w:rsid w:val="00B0438E"/>
    <w:rsid w:val="00B10E92"/>
    <w:rsid w:val="00B165DA"/>
    <w:rsid w:val="00B52A1E"/>
    <w:rsid w:val="00B54FF4"/>
    <w:rsid w:val="00B6498B"/>
    <w:rsid w:val="00B66942"/>
    <w:rsid w:val="00B66C93"/>
    <w:rsid w:val="00B8117D"/>
    <w:rsid w:val="00B90DD1"/>
    <w:rsid w:val="00BA158B"/>
    <w:rsid w:val="00BB0ABF"/>
    <w:rsid w:val="00BB7B73"/>
    <w:rsid w:val="00BC188F"/>
    <w:rsid w:val="00BC6E1D"/>
    <w:rsid w:val="00BC76C7"/>
    <w:rsid w:val="00BE2E9B"/>
    <w:rsid w:val="00BF0D53"/>
    <w:rsid w:val="00C04DB3"/>
    <w:rsid w:val="00C27EE9"/>
    <w:rsid w:val="00C34953"/>
    <w:rsid w:val="00C40146"/>
    <w:rsid w:val="00C424D1"/>
    <w:rsid w:val="00C50608"/>
    <w:rsid w:val="00C74FFE"/>
    <w:rsid w:val="00C76060"/>
    <w:rsid w:val="00CA38DC"/>
    <w:rsid w:val="00CA6D91"/>
    <w:rsid w:val="00CB6B8F"/>
    <w:rsid w:val="00CC6D17"/>
    <w:rsid w:val="00CD72CC"/>
    <w:rsid w:val="00CF0287"/>
    <w:rsid w:val="00CF4BDF"/>
    <w:rsid w:val="00CF4F6D"/>
    <w:rsid w:val="00D37344"/>
    <w:rsid w:val="00D60030"/>
    <w:rsid w:val="00D8132A"/>
    <w:rsid w:val="00D81E4D"/>
    <w:rsid w:val="00D913A3"/>
    <w:rsid w:val="00D97A60"/>
    <w:rsid w:val="00DA4CD7"/>
    <w:rsid w:val="00DB2127"/>
    <w:rsid w:val="00DB629A"/>
    <w:rsid w:val="00DD6867"/>
    <w:rsid w:val="00E03249"/>
    <w:rsid w:val="00E21283"/>
    <w:rsid w:val="00E247F9"/>
    <w:rsid w:val="00E2497F"/>
    <w:rsid w:val="00E24B12"/>
    <w:rsid w:val="00E324F3"/>
    <w:rsid w:val="00E467E8"/>
    <w:rsid w:val="00E62FEA"/>
    <w:rsid w:val="00E85909"/>
    <w:rsid w:val="00EC06E8"/>
    <w:rsid w:val="00EC5120"/>
    <w:rsid w:val="00EE39A3"/>
    <w:rsid w:val="00EE7935"/>
    <w:rsid w:val="00F009FC"/>
    <w:rsid w:val="00F04023"/>
    <w:rsid w:val="00F05104"/>
    <w:rsid w:val="00F25408"/>
    <w:rsid w:val="00F3273A"/>
    <w:rsid w:val="00F41AB4"/>
    <w:rsid w:val="00F4380E"/>
    <w:rsid w:val="00F60826"/>
    <w:rsid w:val="00F619D0"/>
    <w:rsid w:val="00F75F28"/>
    <w:rsid w:val="00F80494"/>
    <w:rsid w:val="00F959D8"/>
    <w:rsid w:val="00FC3ACF"/>
    <w:rsid w:val="00FD144A"/>
    <w:rsid w:val="00FD717B"/>
    <w:rsid w:val="500D6A78"/>
    <w:rsid w:val="50BE7078"/>
    <w:rsid w:val="54F40EBF"/>
    <w:rsid w:val="66DF1D4F"/>
    <w:rsid w:val="6F24129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 w:eastAsia="宋体" w:cs="Times New Roman"/>
      <w:b/>
      <w:bCs/>
      <w:sz w:val="28"/>
      <w:szCs w:val="28"/>
    </w:rPr>
  </w:style>
  <w:style w:type="character" w:default="1" w:styleId="15">
    <w:name w:val="Default Paragraph Font"/>
    <w:unhideWhenUsed/>
    <w:uiPriority w:val="1"/>
  </w:style>
  <w:style w:type="table" w:default="1" w:styleId="13">
    <w:name w:val="Normal Table"/>
    <w:semiHidden/>
    <w:unhideWhenUsed/>
    <w:qFormat/>
    <w:uiPriority w:val="99"/>
    <w:tblPr>
      <w:tblStyle w:val="13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paragraph" w:styleId="6">
    <w:name w:val="Document Map"/>
    <w:basedOn w:val="1"/>
    <w:link w:val="23"/>
    <w:semiHidden/>
    <w:unhideWhenUsed/>
    <w:uiPriority w:val="99"/>
    <w:rPr>
      <w:rFonts w:ascii="宋体"/>
      <w:sz w:val="18"/>
      <w:szCs w:val="18"/>
    </w:rPr>
  </w:style>
  <w:style w:type="paragraph" w:styleId="7">
    <w:name w:val="Date"/>
    <w:basedOn w:val="1"/>
    <w:next w:val="1"/>
    <w:link w:val="19"/>
    <w:semiHidden/>
    <w:unhideWhenUsed/>
    <w:uiPriority w:val="99"/>
    <w:pPr>
      <w:ind w:left="100" w:leftChars="2500"/>
    </w:pPr>
  </w:style>
  <w:style w:type="paragraph" w:styleId="8">
    <w:name w:val="Balloon Text"/>
    <w:basedOn w:val="1"/>
    <w:link w:val="20"/>
    <w:semiHidden/>
    <w:unhideWhenUsed/>
    <w:uiPriority w:val="99"/>
    <w:rPr>
      <w:sz w:val="18"/>
      <w:szCs w:val="18"/>
    </w:rPr>
  </w:style>
  <w:style w:type="paragraph" w:styleId="9">
    <w:name w:val="footer"/>
    <w:basedOn w:val="1"/>
    <w:link w:val="2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TML Preformatted"/>
    <w:basedOn w:val="1"/>
    <w:semiHidden/>
    <w:unhideWhenUsed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2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4">
    <w:name w:val="Table Grid"/>
    <w:basedOn w:val="13"/>
    <w:uiPriority w:val="59"/>
    <w:tblPr>
      <w:tblStyle w:val="13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qFormat/>
    <w:uiPriority w:val="22"/>
    <w:rPr>
      <w:b/>
      <w:bCs/>
    </w:rPr>
  </w:style>
  <w:style w:type="character" w:styleId="17">
    <w:name w:val="HTML Code"/>
    <w:basedOn w:val="15"/>
    <w:semiHidden/>
    <w:unhideWhenUsed/>
    <w:uiPriority w:val="99"/>
    <w:rPr>
      <w:rFonts w:ascii="Courier New" w:hAnsi="Courier New"/>
      <w:sz w:val="20"/>
    </w:rPr>
  </w:style>
  <w:style w:type="character" w:customStyle="1" w:styleId="18">
    <w:name w:val="标题 1 Char"/>
    <w:link w:val="2"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9">
    <w:name w:val="日期 Char"/>
    <w:link w:val="7"/>
    <w:semiHidden/>
    <w:uiPriority w:val="99"/>
    <w:rPr>
      <w:rFonts w:ascii="Calibri" w:hAnsi="Calibri" w:eastAsia="宋体" w:cs="Times New Roman"/>
    </w:rPr>
  </w:style>
  <w:style w:type="character" w:customStyle="1" w:styleId="20">
    <w:name w:val="批注框文本 Char"/>
    <w:link w:val="8"/>
    <w:semiHidden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1">
    <w:name w:val="页眉 Char"/>
    <w:link w:val="10"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2">
    <w:name w:val="页脚 Char"/>
    <w:link w:val="9"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3">
    <w:name w:val="文档结构图 Char"/>
    <w:link w:val="6"/>
    <w:semiHidden/>
    <w:uiPriority w:val="99"/>
    <w:rPr>
      <w:rFonts w:ascii="宋体" w:hAnsi="Calibri" w:eastAsia="宋体" w:cs="Times New Roman"/>
      <w:sz w:val="18"/>
      <w:szCs w:val="18"/>
    </w:rPr>
  </w:style>
  <w:style w:type="character" w:styleId="24">
    <w:name w:val="Placeholder Text"/>
    <w:semiHidden/>
    <w:uiPriority w:val="99"/>
    <w:rPr>
      <w:color w:val="808080"/>
    </w:rPr>
  </w:style>
  <w:style w:type="character" w:customStyle="1" w:styleId="25">
    <w:name w:val="标题 2 Char"/>
    <w:link w:val="3"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26">
    <w:name w:val="标题 3 Char"/>
    <w:link w:val="4"/>
    <w:uiPriority w:val="9"/>
    <w:rPr>
      <w:rFonts w:ascii="Calibri" w:hAnsi="Calibri" w:eastAsia="宋体" w:cs="Times New Roman"/>
      <w:b/>
      <w:bCs/>
      <w:sz w:val="32"/>
      <w:szCs w:val="32"/>
    </w:rPr>
  </w:style>
  <w:style w:type="character" w:customStyle="1" w:styleId="27">
    <w:name w:val="标题 4 Char"/>
    <w:link w:val="5"/>
    <w:uiPriority w:val="9"/>
    <w:rPr>
      <w:rFonts w:ascii="Cambria" w:hAnsi="Cambria" w:eastAsia="宋体" w:cs="Times New Roman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661</Words>
  <Characters>2122</Characters>
  <Lines>19</Lines>
  <Paragraphs>5</Paragraphs>
  <TotalTime>60</TotalTime>
  <ScaleCrop>false</ScaleCrop>
  <LinksUpToDate>false</LinksUpToDate>
  <CharactersWithSpaces>2349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2016-05-17T12:25:00Z</dcterms:created>
  <dc:creator>SHOU</dc:creator>
  <cp:lastModifiedBy>范</cp:lastModifiedBy>
  <dcterms:modified xsi:type="dcterms:W3CDTF">2026-05-05T10:29:59Z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eyJoZGlkIjoiMWExMjYzZTNkZWM1YjE4YjdlNzYyYWQ0ZmM0ZWRjODciLCJ1c2VySWQiOiIxNDE1NjkyNzk3In0=</vt:lpwstr>
  </property>
  <property fmtid="{D5CDD505-2E9C-101B-9397-08002B2CF9AE}" pid="3" name="KSOProductBuildVer">
    <vt:lpwstr>2052-12.1.0.25865</vt:lpwstr>
  </property>
  <property fmtid="{D5CDD505-2E9C-101B-9397-08002B2CF9AE}" pid="4" name="ICV">
    <vt:lpwstr>F1B01718144A4B3D9179947D87915EC5_13</vt:lpwstr>
  </property>
</Properties>
</file>